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600" w:lineRule="exact"/>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eastAsia="zh-CN"/>
        </w:rPr>
        <w:t>附件</w:t>
      </w:r>
      <w:r>
        <w:rPr>
          <w:rFonts w:hint="default" w:ascii="Times New Roman" w:hAnsi="Times New Roman" w:eastAsia="黑体" w:cs="Times New Roman"/>
          <w:sz w:val="32"/>
          <w:szCs w:val="32"/>
          <w:lang w:val="en-US" w:eastAsia="zh-CN"/>
        </w:rPr>
        <w:t>1</w:t>
      </w:r>
    </w:p>
    <w:p>
      <w:pPr>
        <w:keepNext w:val="0"/>
        <w:keepLines w:val="0"/>
        <w:pageBreakBefore w:val="0"/>
        <w:kinsoku/>
        <w:wordWrap/>
        <w:overflowPunct/>
        <w:topLinePunct w:val="0"/>
        <w:autoSpaceDE/>
        <w:autoSpaceDN/>
        <w:bidi w:val="0"/>
        <w:adjustRightInd/>
        <w:snapToGrid/>
        <w:spacing w:line="600" w:lineRule="exact"/>
        <w:ind w:firstLine="880" w:firstLineChars="200"/>
        <w:jc w:val="center"/>
        <w:textAlignment w:val="auto"/>
        <w:rPr>
          <w:rFonts w:hint="default" w:ascii="Times New Roman" w:hAnsi="Times New Roman" w:eastAsia="方正小标宋简体" w:cs="Times New Roman"/>
          <w:sz w:val="44"/>
          <w:szCs w:val="44"/>
        </w:rPr>
      </w:pPr>
    </w:p>
    <w:p>
      <w:pPr>
        <w:keepNext w:val="0"/>
        <w:keepLines w:val="0"/>
        <w:pageBreakBefore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仿宋" w:cs="Times New Roman"/>
          <w:sz w:val="32"/>
          <w:szCs w:val="32"/>
        </w:rPr>
      </w:pPr>
      <w:r>
        <w:rPr>
          <w:rFonts w:hint="default" w:ascii="Times New Roman" w:hAnsi="Times New Roman" w:eastAsia="方正小标宋简体" w:cs="Times New Roman"/>
          <w:sz w:val="44"/>
          <w:szCs w:val="44"/>
        </w:rPr>
        <w:t>中药材供应商审核指导原则</w:t>
      </w:r>
      <w:r>
        <w:rPr>
          <w:rFonts w:hint="default" w:ascii="Times New Roman" w:hAnsi="Times New Roman" w:eastAsia="方正小标宋简体" w:cs="Times New Roman"/>
          <w:sz w:val="44"/>
          <w:szCs w:val="44"/>
        </w:rPr>
        <w:br w:type="textWrapping"/>
      </w:r>
      <w:r>
        <w:rPr>
          <w:rFonts w:hint="default" w:ascii="Times New Roman" w:hAnsi="Times New Roman" w:eastAsia="楷体" w:cs="Times New Roman"/>
          <w:sz w:val="32"/>
          <w:szCs w:val="32"/>
        </w:rPr>
        <w:t>（</w:t>
      </w:r>
      <w:r>
        <w:rPr>
          <w:rFonts w:hint="eastAsia" w:ascii="Times New Roman" w:hAnsi="Times New Roman" w:eastAsia="楷体" w:cs="Times New Roman"/>
          <w:sz w:val="32"/>
          <w:szCs w:val="32"/>
          <w:lang w:val="en-US" w:eastAsia="zh-CN"/>
        </w:rPr>
        <w:t>征求意见稿</w:t>
      </w:r>
      <w:r>
        <w:rPr>
          <w:rFonts w:hint="default" w:ascii="Times New Roman" w:hAnsi="Times New Roman" w:eastAsia="楷体" w:cs="Times New Roman"/>
          <w:sz w:val="32"/>
          <w:szCs w:val="32"/>
        </w:rPr>
        <w:t>）</w:t>
      </w:r>
    </w:p>
    <w:p>
      <w:pPr>
        <w:keepNext w:val="0"/>
        <w:keepLines w:val="0"/>
        <w:pageBreakBefore w:val="0"/>
        <w:kinsoku/>
        <w:wordWrap/>
        <w:overflowPunct/>
        <w:topLinePunct w:val="0"/>
        <w:autoSpaceDE/>
        <w:autoSpaceDN/>
        <w:bidi w:val="0"/>
        <w:adjustRightInd/>
        <w:snapToGrid/>
        <w:spacing w:line="600" w:lineRule="exact"/>
        <w:jc w:val="left"/>
        <w:textAlignment w:val="auto"/>
        <w:rPr>
          <w:rFonts w:hint="default" w:ascii="Times New Roman" w:hAnsi="Times New Roman" w:eastAsia="仿宋" w:cs="Times New Roman"/>
          <w:b/>
          <w:sz w:val="32"/>
          <w:szCs w:val="32"/>
          <w:lang w:val="en-US" w:eastAsia="zh-CN"/>
        </w:rPr>
      </w:pPr>
      <w:bookmarkStart w:id="12" w:name="_GoBack"/>
      <w:bookmarkEnd w:id="12"/>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一、概述</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为健全符合中药特点的全链条质量监管体系，强化中药材源头质量管控，引导</w:t>
      </w:r>
      <w:bookmarkStart w:id="0" w:name="OLE_LINK20"/>
      <w:bookmarkStart w:id="1" w:name="OLE_LINK19"/>
      <w:r>
        <w:rPr>
          <w:rFonts w:hint="default" w:ascii="Times New Roman" w:hAnsi="Times New Roman" w:eastAsia="仿宋_GB2312" w:cs="Times New Roman"/>
          <w:sz w:val="32"/>
          <w:szCs w:val="32"/>
          <w:lang w:eastAsia="zh-CN"/>
        </w:rPr>
        <w:t>中药上市许可持有人、</w:t>
      </w:r>
      <w:r>
        <w:rPr>
          <w:rFonts w:hint="default" w:ascii="Times New Roman" w:hAnsi="Times New Roman" w:eastAsia="仿宋_GB2312" w:cs="Times New Roman"/>
          <w:sz w:val="32"/>
          <w:szCs w:val="32"/>
        </w:rPr>
        <w:t>中药生产企业（</w:t>
      </w:r>
      <w:r>
        <w:rPr>
          <w:rFonts w:hint="default" w:ascii="Times New Roman" w:hAnsi="Times New Roman" w:eastAsia="仿宋_GB2312" w:cs="Times New Roman"/>
          <w:sz w:val="32"/>
          <w:szCs w:val="32"/>
          <w:lang w:eastAsia="zh-CN"/>
        </w:rPr>
        <w:t>以下称企业</w:t>
      </w:r>
      <w:r>
        <w:rPr>
          <w:rFonts w:hint="default" w:ascii="Times New Roman" w:hAnsi="Times New Roman" w:eastAsia="仿宋_GB2312" w:cs="Times New Roman"/>
          <w:sz w:val="32"/>
          <w:szCs w:val="32"/>
        </w:rPr>
        <w:t>）</w:t>
      </w:r>
      <w:bookmarkEnd w:id="0"/>
      <w:bookmarkEnd w:id="1"/>
      <w:r>
        <w:rPr>
          <w:rFonts w:hint="default" w:ascii="Times New Roman" w:hAnsi="Times New Roman" w:eastAsia="仿宋_GB2312" w:cs="Times New Roman"/>
          <w:sz w:val="32"/>
          <w:szCs w:val="32"/>
        </w:rPr>
        <w:t>规范中药材供应商（</w:t>
      </w:r>
      <w:r>
        <w:rPr>
          <w:rFonts w:hint="default" w:ascii="Times New Roman" w:hAnsi="Times New Roman" w:eastAsia="仿宋_GB2312" w:cs="Times New Roman"/>
          <w:sz w:val="32"/>
          <w:szCs w:val="32"/>
          <w:lang w:val="en-US" w:eastAsia="zh-CN"/>
        </w:rPr>
        <w:t>即</w:t>
      </w:r>
      <w:r>
        <w:rPr>
          <w:rFonts w:hint="default" w:ascii="Times New Roman" w:hAnsi="Times New Roman" w:eastAsia="仿宋_GB2312" w:cs="Times New Roman"/>
          <w:sz w:val="32"/>
          <w:szCs w:val="32"/>
        </w:rPr>
        <w:t>中药材生产企业、中药材经营企业）</w:t>
      </w:r>
      <w:r>
        <w:rPr>
          <w:rFonts w:hint="default"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lang w:val="en-US"/>
        </w:rPr>
        <w:t>审核</w:t>
      </w:r>
      <w:r>
        <w:rPr>
          <w:rFonts w:hint="default" w:ascii="Times New Roman" w:hAnsi="Times New Roman" w:eastAsia="仿宋_GB2312" w:cs="Times New Roman"/>
          <w:sz w:val="32"/>
          <w:szCs w:val="32"/>
        </w:rPr>
        <w:t>行为，压实企业主体责任，保障中药安全、有效、质量可控，</w:t>
      </w:r>
      <w:r>
        <w:rPr>
          <w:rFonts w:hint="default" w:ascii="Times New Roman" w:hAnsi="Times New Roman" w:eastAsia="仿宋_GB2312" w:cs="Times New Roman"/>
          <w:sz w:val="32"/>
          <w:szCs w:val="32"/>
          <w:lang w:eastAsia="zh-CN"/>
        </w:rPr>
        <w:t>根</w:t>
      </w:r>
      <w:r>
        <w:rPr>
          <w:rFonts w:hint="default" w:ascii="Times New Roman" w:hAnsi="Times New Roman" w:eastAsia="仿宋_GB2312" w:cs="Times New Roman"/>
          <w:sz w:val="32"/>
          <w:szCs w:val="32"/>
        </w:rPr>
        <w:t>据《中华人民共和国药品管理法》</w:t>
      </w:r>
      <w:r>
        <w:rPr>
          <w:rFonts w:hint="default" w:ascii="Times New Roman" w:hAnsi="Times New Roman" w:eastAsia="仿宋_GB2312" w:cs="Times New Roman"/>
          <w:sz w:val="32"/>
          <w:szCs w:val="32"/>
          <w:lang w:eastAsia="zh-CN"/>
        </w:rPr>
        <w:t>《中华人民共和国中医药法》</w:t>
      </w:r>
      <w:r>
        <w:rPr>
          <w:rFonts w:hint="default" w:ascii="Times New Roman" w:hAnsi="Times New Roman" w:eastAsia="仿宋_GB2312" w:cs="Times New Roman"/>
          <w:sz w:val="32"/>
          <w:szCs w:val="32"/>
        </w:rPr>
        <w:t>《中华人民共和国药品管理法实施条例》《药品生产监督管理办法》《药品生产质量管理规范》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药品GMP）</w:t>
      </w:r>
      <w:r>
        <w:rPr>
          <w:rFonts w:hint="default" w:ascii="Times New Roman" w:hAnsi="Times New Roman" w:eastAsia="仿宋_GB2312" w:cs="Times New Roman"/>
          <w:sz w:val="32"/>
          <w:szCs w:val="32"/>
        </w:rPr>
        <w:t>《中药材生产质量管理规范》（中药材GAP）《中药生产监督管理专门规定》等法规要求，制定本指导原则。</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本指导原则遵循中医药发展规律，</w:t>
      </w:r>
      <w:r>
        <w:rPr>
          <w:rFonts w:hint="default" w:ascii="Times New Roman" w:hAnsi="Times New Roman" w:eastAsia="仿宋_GB2312" w:cs="Times New Roman"/>
          <w:sz w:val="32"/>
          <w:szCs w:val="32"/>
          <w:lang w:eastAsia="zh-CN"/>
        </w:rPr>
        <w:t>坚持守正创新、源头管控、风险管理、动态优化，</w:t>
      </w:r>
      <w:r>
        <w:rPr>
          <w:rFonts w:hint="default" w:ascii="Times New Roman" w:hAnsi="Times New Roman" w:eastAsia="仿宋_GB2312" w:cs="Times New Roman"/>
          <w:sz w:val="32"/>
          <w:szCs w:val="32"/>
        </w:rPr>
        <w:t>立足中药生产规律和中药材质量特点，传承中药材传统鉴别、加工、养护等经验技术</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融合现代质量管理理念，引导企业</w:t>
      </w:r>
      <w:r>
        <w:rPr>
          <w:rFonts w:hint="default" w:ascii="Times New Roman" w:hAnsi="Times New Roman" w:eastAsia="仿宋_GB2312" w:cs="Times New Roman"/>
          <w:color w:val="000000" w:themeColor="text1"/>
          <w:sz w:val="32"/>
          <w:szCs w:val="32"/>
          <w14:textFill>
            <w14:solidFill>
              <w14:schemeClr w14:val="tx1"/>
            </w14:solidFill>
          </w14:textFill>
        </w:rPr>
        <w:t>科学识别供应商质量风险</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建立常态化</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评估</w:t>
      </w:r>
      <w:r>
        <w:rPr>
          <w:rFonts w:hint="default" w:ascii="Times New Roman" w:hAnsi="Times New Roman" w:eastAsia="仿宋_GB2312" w:cs="Times New Roman"/>
          <w:color w:val="000000" w:themeColor="text1"/>
          <w:sz w:val="32"/>
          <w:szCs w:val="32"/>
          <w14:textFill>
            <w14:solidFill>
              <w14:schemeClr w14:val="tx1"/>
            </w14:solidFill>
          </w14:textFill>
        </w:rPr>
        <w:t>与定期质量回顾</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机制，</w:t>
      </w:r>
      <w:r>
        <w:rPr>
          <w:rFonts w:hint="default" w:ascii="Times New Roman" w:hAnsi="Times New Roman" w:eastAsia="仿宋_GB2312" w:cs="Times New Roman"/>
          <w:sz w:val="32"/>
          <w:szCs w:val="32"/>
        </w:rPr>
        <w:t>构建科学系统、可追溯的供应商</w:t>
      </w:r>
      <w:r>
        <w:rPr>
          <w:rFonts w:hint="default" w:ascii="Times New Roman" w:hAnsi="Times New Roman" w:eastAsia="仿宋_GB2312" w:cs="Times New Roman"/>
          <w:sz w:val="32"/>
          <w:szCs w:val="32"/>
          <w:lang w:val="en-US"/>
        </w:rPr>
        <w:t>审核</w:t>
      </w:r>
      <w:r>
        <w:rPr>
          <w:rFonts w:hint="default" w:ascii="Times New Roman" w:hAnsi="Times New Roman" w:eastAsia="仿宋_GB2312" w:cs="Times New Roman"/>
          <w:sz w:val="32"/>
          <w:szCs w:val="32"/>
        </w:rPr>
        <w:t>体系，推动质量管理体系向中药材源头延伸，统筹中药材资源供给与质量安全、保障供应链可持续，促进中药产业高质量发展。</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Cs/>
          <w:sz w:val="32"/>
          <w:szCs w:val="32"/>
        </w:rPr>
      </w:pPr>
      <w:r>
        <w:rPr>
          <w:rFonts w:hint="eastAsia" w:ascii="黑体" w:hAnsi="黑体" w:eastAsia="黑体" w:cs="黑体"/>
          <w:bCs/>
          <w:sz w:val="32"/>
          <w:szCs w:val="32"/>
        </w:rPr>
        <w:t>二、适用范围</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本指导原则适用于企业对中药材供应商的</w:t>
      </w:r>
      <w:r>
        <w:rPr>
          <w:rFonts w:hint="default" w:ascii="Times New Roman" w:hAnsi="Times New Roman" w:eastAsia="仿宋_GB2312" w:cs="Times New Roman"/>
          <w:sz w:val="32"/>
          <w:szCs w:val="32"/>
          <w:lang w:eastAsia="zh-CN"/>
        </w:rPr>
        <w:t>质量评估</w:t>
      </w:r>
      <w:r>
        <w:rPr>
          <w:rFonts w:hint="default" w:ascii="Times New Roman" w:hAnsi="Times New Roman" w:eastAsia="仿宋_GB2312" w:cs="Times New Roman"/>
          <w:sz w:val="32"/>
          <w:szCs w:val="32"/>
        </w:rPr>
        <w:t>、批准及持续管理。</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实施审批管理的中药材、进口中药材、产地加工中药材</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以</w:t>
      </w:r>
      <w:r>
        <w:rPr>
          <w:rFonts w:hint="default" w:ascii="Times New Roman" w:hAnsi="Times New Roman" w:eastAsia="仿宋_GB2312" w:cs="Times New Roman"/>
          <w:sz w:val="32"/>
          <w:szCs w:val="32"/>
        </w:rPr>
        <w:t>及</w:t>
      </w:r>
      <w:r>
        <w:rPr>
          <w:rFonts w:hint="default" w:ascii="Times New Roman" w:hAnsi="Times New Roman" w:eastAsia="仿宋_GB2312" w:cs="Times New Roman"/>
          <w:sz w:val="32"/>
          <w:szCs w:val="32"/>
          <w:lang w:val="en-US" w:eastAsia="zh-CN"/>
        </w:rPr>
        <w:t>属于</w:t>
      </w:r>
      <w:r>
        <w:rPr>
          <w:rFonts w:hint="default" w:ascii="Times New Roman" w:hAnsi="Times New Roman" w:eastAsia="仿宋_GB2312" w:cs="Times New Roman"/>
          <w:sz w:val="32"/>
          <w:szCs w:val="32"/>
        </w:rPr>
        <w:t>医疗用毒性药品、麻醉药品</w:t>
      </w:r>
      <w:r>
        <w:rPr>
          <w:rFonts w:hint="default" w:ascii="Times New Roman" w:hAnsi="Times New Roman" w:eastAsia="仿宋_GB2312" w:cs="Times New Roman"/>
          <w:sz w:val="32"/>
          <w:szCs w:val="32"/>
          <w:lang w:val="en-US" w:eastAsia="zh-CN"/>
        </w:rPr>
        <w:t>或者</w:t>
      </w:r>
      <w:r>
        <w:rPr>
          <w:rFonts w:hint="default" w:ascii="Times New Roman" w:hAnsi="Times New Roman" w:eastAsia="仿宋_GB2312" w:cs="Times New Roman"/>
          <w:color w:val="auto"/>
          <w:sz w:val="32"/>
          <w:szCs w:val="32"/>
          <w:lang w:val="en-US" w:eastAsia="zh-CN"/>
        </w:rPr>
        <w:t>野生保护的中药材</w:t>
      </w:r>
      <w:r>
        <w:rPr>
          <w:rFonts w:hint="default" w:ascii="Times New Roman" w:hAnsi="Times New Roman" w:eastAsia="仿宋_GB2312" w:cs="Times New Roman"/>
          <w:sz w:val="32"/>
          <w:szCs w:val="32"/>
          <w:lang w:val="en-US" w:eastAsia="zh-CN"/>
        </w:rPr>
        <w:t>等有特殊要求的中药材（以下称特殊药材）</w:t>
      </w:r>
      <w:r>
        <w:rPr>
          <w:rFonts w:hint="default" w:ascii="Times New Roman" w:hAnsi="Times New Roman" w:eastAsia="仿宋_GB2312" w:cs="Times New Roman"/>
          <w:sz w:val="32"/>
          <w:szCs w:val="32"/>
        </w:rPr>
        <w:t>的供应商</w:t>
      </w:r>
      <w:r>
        <w:rPr>
          <w:rFonts w:hint="default" w:ascii="Times New Roman" w:hAnsi="Times New Roman" w:eastAsia="仿宋_GB2312" w:cs="Times New Roman"/>
          <w:sz w:val="32"/>
          <w:szCs w:val="32"/>
          <w:lang w:val="en-US" w:eastAsia="zh-CN"/>
        </w:rPr>
        <w:t>质量评估</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企业除遵循本指导原则外，还应</w:t>
      </w:r>
      <w:r>
        <w:rPr>
          <w:rFonts w:hint="default" w:ascii="Times New Roman" w:hAnsi="Times New Roman" w:eastAsia="仿宋_GB2312" w:cs="Times New Roman"/>
          <w:sz w:val="32"/>
          <w:szCs w:val="32"/>
          <w:lang w:val="en-US" w:eastAsia="zh-CN"/>
        </w:rPr>
        <w:t>当</w:t>
      </w:r>
      <w:r>
        <w:rPr>
          <w:rFonts w:hint="default" w:ascii="Times New Roman" w:hAnsi="Times New Roman" w:eastAsia="仿宋_GB2312" w:cs="Times New Roman"/>
          <w:sz w:val="32"/>
          <w:szCs w:val="32"/>
        </w:rPr>
        <w:t>符合国家有关管理规定。</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Cs/>
          <w:sz w:val="32"/>
          <w:szCs w:val="32"/>
        </w:rPr>
      </w:pPr>
      <w:r>
        <w:rPr>
          <w:rFonts w:hint="eastAsia" w:ascii="黑体" w:hAnsi="黑体" w:eastAsia="黑体" w:cs="黑体"/>
          <w:bCs/>
          <w:sz w:val="32"/>
          <w:szCs w:val="32"/>
          <w:lang w:eastAsia="zh-CN"/>
        </w:rPr>
        <w:t>三</w:t>
      </w:r>
      <w:r>
        <w:rPr>
          <w:rFonts w:hint="eastAsia" w:ascii="黑体" w:hAnsi="黑体" w:eastAsia="黑体" w:cs="黑体"/>
          <w:bCs/>
          <w:sz w:val="32"/>
          <w:szCs w:val="32"/>
        </w:rPr>
        <w:t>、基本要求</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0000FF"/>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一</w:t>
      </w:r>
      <w:r>
        <w:rPr>
          <w:rFonts w:hint="default" w:ascii="Times New Roman" w:hAnsi="Times New Roman" w:eastAsia="仿宋_GB2312" w:cs="Times New Roman"/>
          <w:sz w:val="32"/>
          <w:szCs w:val="32"/>
        </w:rPr>
        <w:t>）企业应当建立并实施中药材供应商管理制度，开展供应商审核、批准及变更等工作</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结合中药材来源特点，逐步将质量管理延伸至种植养殖、野生药材采集、矿物药产地等源头，减少中间环节，</w:t>
      </w:r>
      <w:r>
        <w:rPr>
          <w:rFonts w:hint="default" w:ascii="Times New Roman" w:hAnsi="Times New Roman" w:eastAsia="仿宋_GB2312" w:cs="Times New Roman"/>
          <w:sz w:val="32"/>
          <w:szCs w:val="32"/>
          <w:lang w:val="en-US" w:eastAsia="zh-CN"/>
        </w:rPr>
        <w:t>不断提升</w:t>
      </w:r>
      <w:r>
        <w:rPr>
          <w:rFonts w:hint="default" w:ascii="Times New Roman" w:hAnsi="Times New Roman" w:eastAsia="仿宋_GB2312" w:cs="Times New Roman"/>
          <w:sz w:val="32"/>
          <w:szCs w:val="32"/>
        </w:rPr>
        <w:t>源头管控水平。</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二</w:t>
      </w:r>
      <w:r>
        <w:rPr>
          <w:rFonts w:hint="default" w:ascii="Times New Roman" w:hAnsi="Times New Roman" w:eastAsia="仿宋_GB2312" w:cs="Times New Roman"/>
          <w:sz w:val="32"/>
          <w:szCs w:val="32"/>
        </w:rPr>
        <w:t>）企业应当结合中药材特性、产品风险、监管信息及资源供给情况开展供应商风险</w:t>
      </w:r>
      <w:r>
        <w:rPr>
          <w:rFonts w:hint="default" w:ascii="Times New Roman" w:hAnsi="Times New Roman" w:eastAsia="仿宋_GB2312" w:cs="Times New Roman"/>
          <w:sz w:val="32"/>
          <w:szCs w:val="32"/>
          <w:lang w:val="en-US" w:eastAsia="zh-CN"/>
        </w:rPr>
        <w:t>评估</w:t>
      </w:r>
      <w:r>
        <w:rPr>
          <w:rFonts w:hint="default" w:ascii="Times New Roman" w:hAnsi="Times New Roman" w:eastAsia="仿宋_GB2312" w:cs="Times New Roman"/>
          <w:sz w:val="32"/>
          <w:szCs w:val="32"/>
        </w:rPr>
        <w:t>，采取与其风险相适应的</w:t>
      </w:r>
      <w:r>
        <w:rPr>
          <w:rFonts w:hint="default" w:ascii="Times New Roman" w:hAnsi="Times New Roman" w:eastAsia="仿宋_GB2312" w:cs="Times New Roman"/>
          <w:sz w:val="32"/>
          <w:szCs w:val="32"/>
          <w:lang w:val="en-US"/>
        </w:rPr>
        <w:t>审核</w:t>
      </w:r>
      <w:r>
        <w:rPr>
          <w:rFonts w:hint="default" w:ascii="Times New Roman" w:hAnsi="Times New Roman" w:eastAsia="仿宋_GB2312" w:cs="Times New Roman"/>
          <w:sz w:val="32"/>
          <w:szCs w:val="32"/>
        </w:rPr>
        <w:t>与管控措施；</w:t>
      </w:r>
      <w:bookmarkStart w:id="2" w:name="OLE_LINK16"/>
      <w:bookmarkStart w:id="3" w:name="OLE_LINK15"/>
      <w:r>
        <w:rPr>
          <w:rFonts w:hint="default" w:ascii="Times New Roman" w:hAnsi="Times New Roman" w:eastAsia="仿宋_GB2312" w:cs="Times New Roman"/>
          <w:sz w:val="32"/>
          <w:szCs w:val="32"/>
        </w:rPr>
        <w:t>从中药材经营企业采购的，应当根据风险评估结果对其上游货源及加工环节开展延伸</w:t>
      </w:r>
      <w:r>
        <w:rPr>
          <w:rFonts w:hint="default" w:ascii="Times New Roman" w:hAnsi="Times New Roman" w:eastAsia="仿宋_GB2312" w:cs="Times New Roman"/>
          <w:sz w:val="32"/>
          <w:szCs w:val="32"/>
          <w:lang w:val="en-US"/>
        </w:rPr>
        <w:t>审核</w:t>
      </w:r>
      <w:r>
        <w:rPr>
          <w:rFonts w:hint="default" w:ascii="Times New Roman" w:hAnsi="Times New Roman" w:eastAsia="仿宋_GB2312" w:cs="Times New Roman"/>
          <w:sz w:val="32"/>
          <w:szCs w:val="32"/>
        </w:rPr>
        <w:t>。</w:t>
      </w:r>
      <w:bookmarkEnd w:id="2"/>
      <w:bookmarkEnd w:id="3"/>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三</w:t>
      </w:r>
      <w:r>
        <w:rPr>
          <w:rFonts w:hint="default" w:ascii="Times New Roman" w:hAnsi="Times New Roman" w:eastAsia="仿宋_GB2312" w:cs="Times New Roman"/>
          <w:sz w:val="32"/>
          <w:szCs w:val="32"/>
        </w:rPr>
        <w:t>）企业应当持续评估中药材供应稳定性，结合资源评估情况，</w:t>
      </w:r>
      <w:r>
        <w:rPr>
          <w:rFonts w:hint="default" w:ascii="Times New Roman" w:hAnsi="Times New Roman" w:eastAsia="仿宋_GB2312" w:cs="Times New Roman"/>
          <w:sz w:val="32"/>
          <w:szCs w:val="32"/>
          <w:lang w:val="en-US" w:eastAsia="zh-CN"/>
        </w:rPr>
        <w:t>选择能够保证</w:t>
      </w:r>
      <w:r>
        <w:rPr>
          <w:rFonts w:hint="default" w:ascii="Times New Roman" w:hAnsi="Times New Roman" w:eastAsia="仿宋_GB2312" w:cs="Times New Roman"/>
          <w:sz w:val="32"/>
          <w:szCs w:val="32"/>
        </w:rPr>
        <w:t>基原准确、来源清楚、产地明确的中药材</w:t>
      </w:r>
      <w:r>
        <w:rPr>
          <w:rFonts w:hint="default"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lang w:val="en-US" w:eastAsia="zh-CN"/>
        </w:rPr>
        <w:t>供应商</w:t>
      </w:r>
      <w:r>
        <w:rPr>
          <w:rFonts w:hint="default" w:ascii="Times New Roman" w:hAnsi="Times New Roman" w:eastAsia="仿宋_GB2312" w:cs="Times New Roman"/>
          <w:sz w:val="32"/>
          <w:szCs w:val="32"/>
        </w:rPr>
        <w:t>，鼓励优先选择符合中药材GAP要求的道地药材生产企业。</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四</w:t>
      </w:r>
      <w:r>
        <w:rPr>
          <w:rFonts w:hint="default" w:ascii="Times New Roman" w:hAnsi="Times New Roman" w:eastAsia="仿宋_GB2312" w:cs="Times New Roman"/>
          <w:sz w:val="32"/>
          <w:szCs w:val="32"/>
        </w:rPr>
        <w:t>）企业</w:t>
      </w:r>
      <w:r>
        <w:rPr>
          <w:rFonts w:hint="default" w:ascii="Times New Roman" w:hAnsi="Times New Roman" w:eastAsia="仿宋_GB2312" w:cs="Times New Roman"/>
          <w:sz w:val="32"/>
          <w:szCs w:val="32"/>
          <w:lang w:eastAsia="zh-CN"/>
        </w:rPr>
        <w:t>采购特殊药材的</w:t>
      </w:r>
      <w:r>
        <w:rPr>
          <w:rFonts w:hint="default" w:ascii="Times New Roman" w:hAnsi="Times New Roman" w:eastAsia="仿宋_GB2312" w:cs="Times New Roman"/>
          <w:sz w:val="32"/>
          <w:szCs w:val="32"/>
        </w:rPr>
        <w:t>，应当严格执行国家有关管理规定，实施重点管控并单独建立供应商审核档案，强化资源供给评估与预警。</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五</w:t>
      </w:r>
      <w:r>
        <w:rPr>
          <w:rFonts w:hint="default" w:ascii="Times New Roman" w:hAnsi="Times New Roman" w:eastAsia="仿宋_GB2312" w:cs="Times New Roman"/>
          <w:sz w:val="32"/>
          <w:szCs w:val="32"/>
        </w:rPr>
        <w:t>）企业应当完整、真实记录中药材采购、验收、贮存、使用等全过程信息，实现关键质量信息可追溯、可核查；鼓励运用信息化手段提升追溯管理效能，推动上下游追溯信息协同衔接，从种植养殖源头、采收加工、包装、仓储运输、验收入库等关键质量要素实施全链条追溯。</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六</w:t>
      </w:r>
      <w:r>
        <w:rPr>
          <w:rFonts w:hint="default" w:ascii="Times New Roman" w:hAnsi="Times New Roman" w:eastAsia="仿宋_GB2312" w:cs="Times New Roman"/>
          <w:sz w:val="32"/>
          <w:szCs w:val="32"/>
        </w:rPr>
        <w:t>）企业应当强化中药材质量鉴别能力，坚持传统鉴别与现代检测技术相结合，严格把关中药材真伪优劣，结合资源供给特点提升鉴别针对性，确保投入生产的中药材符合药用要求。</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Cs/>
          <w:sz w:val="32"/>
          <w:szCs w:val="32"/>
          <w:lang w:eastAsia="zh-CN"/>
        </w:rPr>
      </w:pPr>
      <w:r>
        <w:rPr>
          <w:rFonts w:hint="eastAsia" w:ascii="黑体" w:hAnsi="黑体" w:eastAsia="黑体" w:cs="黑体"/>
          <w:bCs/>
          <w:sz w:val="32"/>
          <w:szCs w:val="32"/>
          <w:lang w:eastAsia="zh-CN"/>
        </w:rPr>
        <w:t>四、审核要点</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楷体" w:hAnsi="楷体" w:eastAsia="楷体" w:cs="楷体"/>
          <w:bCs/>
          <w:sz w:val="32"/>
          <w:szCs w:val="32"/>
        </w:rPr>
      </w:pPr>
      <w:r>
        <w:rPr>
          <w:rFonts w:hint="eastAsia" w:ascii="楷体" w:hAnsi="楷体" w:eastAsia="楷体" w:cs="楷体"/>
          <w:bCs/>
          <w:sz w:val="32"/>
          <w:szCs w:val="32"/>
        </w:rPr>
        <w:t>（一）</w:t>
      </w:r>
      <w:r>
        <w:rPr>
          <w:rFonts w:hint="eastAsia" w:ascii="楷体" w:hAnsi="楷体" w:eastAsia="楷体" w:cs="楷体"/>
          <w:bCs/>
          <w:sz w:val="32"/>
          <w:szCs w:val="32"/>
          <w:lang w:eastAsia="zh-CN"/>
        </w:rPr>
        <w:t>审核</w:t>
      </w:r>
      <w:r>
        <w:rPr>
          <w:rFonts w:hint="eastAsia" w:ascii="楷体" w:hAnsi="楷体" w:eastAsia="楷体" w:cs="楷体"/>
          <w:bCs/>
          <w:sz w:val="32"/>
          <w:szCs w:val="32"/>
        </w:rPr>
        <w:t>管理部门与人员</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Cs/>
          <w:sz w:val="32"/>
          <w:szCs w:val="32"/>
          <w:lang w:eastAsia="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企业质量管理部门为供应商</w:t>
      </w:r>
      <w:r>
        <w:rPr>
          <w:rFonts w:hint="default" w:ascii="Times New Roman" w:hAnsi="Times New Roman" w:eastAsia="仿宋_GB2312" w:cs="Times New Roman"/>
          <w:sz w:val="32"/>
          <w:szCs w:val="32"/>
          <w:lang w:eastAsia="zh-CN"/>
        </w:rPr>
        <w:t>审核</w:t>
      </w:r>
      <w:r>
        <w:rPr>
          <w:rFonts w:hint="default" w:ascii="Times New Roman" w:hAnsi="Times New Roman" w:eastAsia="仿宋_GB2312" w:cs="Times New Roman"/>
          <w:sz w:val="32"/>
          <w:szCs w:val="32"/>
        </w:rPr>
        <w:t>管理的责任部门，主要负责组织开展供应商审核、质量协议审核、质量审核报告确认</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合格供应商名单确认、供应商持续</w:t>
      </w:r>
      <w:r>
        <w:rPr>
          <w:rFonts w:hint="default" w:ascii="Times New Roman" w:hAnsi="Times New Roman" w:eastAsia="仿宋_GB2312" w:cs="Times New Roman"/>
          <w:sz w:val="32"/>
          <w:szCs w:val="32"/>
          <w:lang w:eastAsia="zh-CN"/>
        </w:rPr>
        <w:t>管理</w:t>
      </w:r>
      <w:r>
        <w:rPr>
          <w:rFonts w:hint="default" w:ascii="Times New Roman" w:hAnsi="Times New Roman" w:eastAsia="仿宋_GB2312" w:cs="Times New Roman"/>
          <w:sz w:val="32"/>
          <w:szCs w:val="32"/>
        </w:rPr>
        <w:t>等工作</w:t>
      </w:r>
      <w:r>
        <w:rPr>
          <w:rFonts w:hint="default" w:ascii="Times New Roman" w:hAnsi="Times New Roman" w:eastAsia="仿宋_GB2312" w:cs="Times New Roman"/>
          <w:sz w:val="32"/>
          <w:szCs w:val="32"/>
          <w:lang w:eastAsia="zh-CN"/>
        </w:rPr>
        <w:t>。应当指定专人负责</w:t>
      </w:r>
      <w:r>
        <w:rPr>
          <w:rFonts w:hint="default" w:ascii="Times New Roman" w:hAnsi="Times New Roman" w:eastAsia="仿宋_GB2312" w:cs="Times New Roman"/>
          <w:color w:val="000000" w:themeColor="text1"/>
          <w:sz w:val="32"/>
          <w:szCs w:val="32"/>
          <w14:textFill>
            <w14:solidFill>
              <w14:schemeClr w14:val="tx1"/>
            </w14:solidFill>
          </w14:textFill>
        </w:rPr>
        <w:t>供应商</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审核，</w:t>
      </w:r>
      <w:r>
        <w:rPr>
          <w:rFonts w:hint="default" w:ascii="Times New Roman" w:hAnsi="Times New Roman" w:eastAsia="仿宋_GB2312" w:cs="Times New Roman"/>
          <w:sz w:val="32"/>
          <w:szCs w:val="32"/>
        </w:rPr>
        <w:t>根据需要</w:t>
      </w:r>
      <w:r>
        <w:rPr>
          <w:rFonts w:hint="default" w:ascii="Times New Roman" w:hAnsi="Times New Roman" w:eastAsia="仿宋_GB2312" w:cs="Times New Roman"/>
          <w:sz w:val="32"/>
          <w:szCs w:val="32"/>
          <w:lang w:eastAsia="zh-CN"/>
        </w:rPr>
        <w:t>可以</w:t>
      </w:r>
      <w:r>
        <w:rPr>
          <w:rFonts w:hint="default" w:ascii="Times New Roman" w:hAnsi="Times New Roman" w:eastAsia="仿宋_GB2312" w:cs="Times New Roman"/>
          <w:sz w:val="32"/>
          <w:szCs w:val="32"/>
        </w:rPr>
        <w:t>配备中药鉴定、种植养殖专业人员或</w:t>
      </w:r>
      <w:r>
        <w:rPr>
          <w:rFonts w:hint="default" w:ascii="Times New Roman" w:hAnsi="Times New Roman" w:eastAsia="仿宋_GB2312" w:cs="Times New Roman"/>
          <w:sz w:val="32"/>
          <w:szCs w:val="32"/>
          <w:lang w:eastAsia="zh-CN"/>
        </w:rPr>
        <w:t>者</w:t>
      </w:r>
      <w:r>
        <w:rPr>
          <w:rFonts w:hint="default" w:ascii="Times New Roman" w:hAnsi="Times New Roman" w:eastAsia="仿宋_GB2312" w:cs="Times New Roman"/>
          <w:sz w:val="32"/>
          <w:szCs w:val="32"/>
        </w:rPr>
        <w:t>邀请老药工、</w:t>
      </w:r>
      <w:r>
        <w:rPr>
          <w:rFonts w:hint="default" w:ascii="Times New Roman" w:hAnsi="Times New Roman" w:eastAsia="仿宋_GB2312" w:cs="Times New Roman"/>
          <w:sz w:val="32"/>
          <w:szCs w:val="32"/>
          <w:lang w:val="en-US" w:eastAsia="zh-CN"/>
        </w:rPr>
        <w:t>中药材</w:t>
      </w:r>
      <w:r>
        <w:rPr>
          <w:rFonts w:hint="default" w:ascii="Times New Roman" w:hAnsi="Times New Roman" w:eastAsia="仿宋_GB2312" w:cs="Times New Roman"/>
          <w:sz w:val="32"/>
          <w:szCs w:val="32"/>
        </w:rPr>
        <w:t>专家参与审核。应当独立履行</w:t>
      </w:r>
      <w:r>
        <w:rPr>
          <w:rFonts w:hint="default" w:ascii="Times New Roman" w:hAnsi="Times New Roman" w:eastAsia="仿宋_GB2312" w:cs="Times New Roman"/>
          <w:sz w:val="32"/>
          <w:szCs w:val="32"/>
          <w:lang w:eastAsia="zh-CN"/>
        </w:rPr>
        <w:t>审核</w:t>
      </w:r>
      <w:r>
        <w:rPr>
          <w:rFonts w:hint="default" w:ascii="Times New Roman" w:hAnsi="Times New Roman" w:eastAsia="仿宋_GB2312" w:cs="Times New Roman"/>
          <w:sz w:val="32"/>
          <w:szCs w:val="32"/>
        </w:rPr>
        <w:t>管理职责</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不得将</w:t>
      </w:r>
      <w:r>
        <w:rPr>
          <w:rFonts w:hint="default" w:ascii="Times New Roman" w:hAnsi="Times New Roman" w:eastAsia="仿宋_GB2312" w:cs="Times New Roman"/>
          <w:sz w:val="32"/>
          <w:szCs w:val="32"/>
          <w:lang w:val="en-US" w:eastAsia="zh-CN"/>
        </w:rPr>
        <w:t>该</w:t>
      </w:r>
      <w:r>
        <w:rPr>
          <w:rFonts w:hint="default" w:ascii="Times New Roman" w:hAnsi="Times New Roman" w:eastAsia="仿宋_GB2312" w:cs="Times New Roman"/>
          <w:sz w:val="32"/>
          <w:szCs w:val="32"/>
        </w:rPr>
        <w:t>职责委托给其他部门或人员。</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Cs/>
          <w:sz w:val="32"/>
          <w:szCs w:val="32"/>
          <w:lang w:val="en-US" w:eastAsia="zh-CN"/>
        </w:rPr>
        <w:t>2.</w:t>
      </w:r>
      <w:r>
        <w:rPr>
          <w:rFonts w:hint="default" w:ascii="Times New Roman" w:hAnsi="Times New Roman" w:eastAsia="仿宋_GB2312" w:cs="Times New Roman"/>
          <w:sz w:val="32"/>
          <w:szCs w:val="32"/>
        </w:rPr>
        <w:t>企业法定代表人、主要负责人对中药质量全面负责，应当</w:t>
      </w:r>
      <w:r>
        <w:rPr>
          <w:rFonts w:hint="default" w:ascii="Times New Roman" w:hAnsi="Times New Roman" w:eastAsia="仿宋_GB2312" w:cs="Times New Roman"/>
          <w:sz w:val="32"/>
          <w:szCs w:val="32"/>
          <w:lang w:eastAsia="zh-CN"/>
        </w:rPr>
        <w:t>督促</w:t>
      </w:r>
      <w:r>
        <w:rPr>
          <w:rFonts w:hint="default" w:ascii="Times New Roman" w:hAnsi="Times New Roman" w:eastAsia="仿宋_GB2312" w:cs="Times New Roman"/>
          <w:sz w:val="32"/>
          <w:szCs w:val="32"/>
        </w:rPr>
        <w:t>中药材供应商</w:t>
      </w:r>
      <w:r>
        <w:rPr>
          <w:rFonts w:hint="default" w:ascii="Times New Roman" w:hAnsi="Times New Roman" w:eastAsia="仿宋_GB2312" w:cs="Times New Roman"/>
          <w:sz w:val="32"/>
          <w:szCs w:val="32"/>
          <w:lang w:eastAsia="zh-CN"/>
        </w:rPr>
        <w:t>健全质量管理</w:t>
      </w:r>
      <w:r>
        <w:rPr>
          <w:rFonts w:hint="default" w:ascii="Times New Roman" w:hAnsi="Times New Roman" w:eastAsia="仿宋_GB2312" w:cs="Times New Roman"/>
          <w:sz w:val="32"/>
          <w:szCs w:val="32"/>
        </w:rPr>
        <w:t>体系并</w:t>
      </w:r>
      <w:r>
        <w:rPr>
          <w:rFonts w:hint="default" w:ascii="Times New Roman" w:hAnsi="Times New Roman" w:eastAsia="仿宋_GB2312" w:cs="Times New Roman"/>
          <w:sz w:val="32"/>
          <w:szCs w:val="32"/>
          <w:lang w:eastAsia="zh-CN"/>
        </w:rPr>
        <w:t>切实</w:t>
      </w:r>
      <w:r>
        <w:rPr>
          <w:rFonts w:hint="default" w:ascii="Times New Roman" w:hAnsi="Times New Roman" w:eastAsia="仿宋_GB2312" w:cs="Times New Roman"/>
          <w:sz w:val="32"/>
          <w:szCs w:val="32"/>
        </w:rPr>
        <w:t>有效运行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企业法定代表人、</w:t>
      </w:r>
      <w:r>
        <w:rPr>
          <w:rFonts w:hint="default" w:ascii="Times New Roman" w:hAnsi="Times New Roman" w:eastAsia="仿宋_GB2312" w:cs="Times New Roman"/>
          <w:sz w:val="32"/>
          <w:szCs w:val="32"/>
          <w:lang w:eastAsia="zh-CN"/>
        </w:rPr>
        <w:t>企业</w:t>
      </w:r>
      <w:r>
        <w:rPr>
          <w:rFonts w:hint="default" w:ascii="Times New Roman" w:hAnsi="Times New Roman" w:eastAsia="仿宋_GB2312" w:cs="Times New Roman"/>
          <w:sz w:val="32"/>
          <w:szCs w:val="32"/>
        </w:rPr>
        <w:t>负责人</w:t>
      </w:r>
      <w:r>
        <w:rPr>
          <w:rFonts w:hint="default" w:ascii="Times New Roman" w:hAnsi="Times New Roman" w:eastAsia="仿宋_GB2312" w:cs="Times New Roman"/>
          <w:sz w:val="32"/>
          <w:szCs w:val="32"/>
          <w:lang w:eastAsia="zh-CN"/>
        </w:rPr>
        <w:t>不得干扰或者妨碍质量管理部门</w:t>
      </w:r>
      <w:r>
        <w:rPr>
          <w:rFonts w:hint="default" w:ascii="Times New Roman" w:hAnsi="Times New Roman" w:eastAsia="仿宋_GB2312" w:cs="Times New Roman"/>
          <w:sz w:val="32"/>
          <w:szCs w:val="32"/>
          <w:lang w:val="en-US" w:eastAsia="zh-CN"/>
        </w:rPr>
        <w:t>独立审核管理中药材</w:t>
      </w:r>
      <w:r>
        <w:rPr>
          <w:rFonts w:hint="default" w:ascii="Times New Roman" w:hAnsi="Times New Roman" w:eastAsia="仿宋_GB2312" w:cs="Times New Roman"/>
          <w:sz w:val="32"/>
          <w:szCs w:val="32"/>
          <w:lang w:eastAsia="zh-CN"/>
        </w:rPr>
        <w:t>供应商。</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lang w:val="en-US" w:eastAsia="zh-CN"/>
        </w:rPr>
        <w:t>3.</w:t>
      </w:r>
      <w:r>
        <w:rPr>
          <w:rFonts w:hint="default" w:ascii="Times New Roman" w:hAnsi="Times New Roman" w:eastAsia="仿宋_GB2312" w:cs="Times New Roman"/>
          <w:sz w:val="32"/>
          <w:szCs w:val="32"/>
        </w:rPr>
        <w:t>企业质量管理负责人应当</w:t>
      </w:r>
      <w:r>
        <w:rPr>
          <w:rFonts w:hint="default" w:ascii="Times New Roman" w:hAnsi="Times New Roman" w:eastAsia="仿宋_GB2312" w:cs="Times New Roman"/>
          <w:sz w:val="32"/>
          <w:szCs w:val="32"/>
          <w:lang w:eastAsia="zh-CN"/>
        </w:rPr>
        <w:t>确保中药材符合质量标准，</w:t>
      </w:r>
      <w:r>
        <w:rPr>
          <w:rFonts w:hint="default" w:ascii="Times New Roman" w:hAnsi="Times New Roman" w:eastAsia="仿宋_GB2312" w:cs="Times New Roman"/>
          <w:sz w:val="32"/>
          <w:szCs w:val="32"/>
        </w:rPr>
        <w:t>组织供应商</w:t>
      </w:r>
      <w:r>
        <w:rPr>
          <w:rFonts w:hint="default" w:ascii="Times New Roman" w:hAnsi="Times New Roman" w:eastAsia="仿宋_GB2312" w:cs="Times New Roman"/>
          <w:sz w:val="32"/>
          <w:szCs w:val="32"/>
          <w:lang w:eastAsia="zh-CN"/>
        </w:rPr>
        <w:t>的审核</w:t>
      </w:r>
      <w:r>
        <w:rPr>
          <w:rFonts w:hint="default" w:ascii="Times New Roman" w:hAnsi="Times New Roman" w:eastAsia="仿宋_GB2312" w:cs="Times New Roman"/>
          <w:sz w:val="32"/>
          <w:szCs w:val="32"/>
        </w:rPr>
        <w:t>与批准工作</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批准</w:t>
      </w:r>
      <w:r>
        <w:rPr>
          <w:rFonts w:hint="default" w:ascii="Times New Roman" w:hAnsi="Times New Roman" w:eastAsia="仿宋_GB2312" w:cs="Times New Roman"/>
          <w:sz w:val="32"/>
          <w:szCs w:val="32"/>
          <w:lang w:eastAsia="zh-CN"/>
        </w:rPr>
        <w:t>审核</w:t>
      </w:r>
      <w:r>
        <w:rPr>
          <w:rFonts w:hint="default" w:ascii="Times New Roman" w:hAnsi="Times New Roman" w:eastAsia="仿宋_GB2312" w:cs="Times New Roman"/>
          <w:sz w:val="32"/>
          <w:szCs w:val="32"/>
        </w:rPr>
        <w:t>方案和</w:t>
      </w:r>
      <w:r>
        <w:rPr>
          <w:rFonts w:hint="default" w:ascii="Times New Roman" w:hAnsi="Times New Roman" w:eastAsia="仿宋_GB2312" w:cs="Times New Roman"/>
          <w:sz w:val="32"/>
          <w:szCs w:val="32"/>
          <w:lang w:eastAsia="zh-CN"/>
        </w:rPr>
        <w:t>审核</w:t>
      </w:r>
      <w:r>
        <w:rPr>
          <w:rFonts w:hint="default" w:ascii="Times New Roman" w:hAnsi="Times New Roman" w:eastAsia="仿宋_GB2312" w:cs="Times New Roman"/>
          <w:sz w:val="32"/>
          <w:szCs w:val="32"/>
        </w:rPr>
        <w:t>报告</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对不符合要求的供应商行使否决权。</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企业质量受权人应当参与供应商重大</w:t>
      </w:r>
      <w:r>
        <w:rPr>
          <w:rFonts w:hint="default" w:ascii="Times New Roman" w:hAnsi="Times New Roman" w:eastAsia="仿宋_GB2312" w:cs="Times New Roman"/>
          <w:sz w:val="32"/>
          <w:szCs w:val="32"/>
          <w:lang w:eastAsia="zh-CN"/>
        </w:rPr>
        <w:t>评估</w:t>
      </w:r>
      <w:r>
        <w:rPr>
          <w:rFonts w:hint="default" w:ascii="Times New Roman" w:hAnsi="Times New Roman" w:eastAsia="仿宋_GB2312" w:cs="Times New Roman"/>
          <w:sz w:val="32"/>
          <w:szCs w:val="32"/>
        </w:rPr>
        <w:t>事项决策，监督供应商</w:t>
      </w:r>
      <w:r>
        <w:rPr>
          <w:rFonts w:hint="default" w:ascii="Times New Roman" w:hAnsi="Times New Roman" w:eastAsia="仿宋_GB2312" w:cs="Times New Roman"/>
          <w:sz w:val="32"/>
          <w:szCs w:val="32"/>
          <w:lang w:eastAsia="zh-CN"/>
        </w:rPr>
        <w:t>审核</w:t>
      </w:r>
      <w:r>
        <w:rPr>
          <w:rFonts w:hint="default" w:ascii="Times New Roman" w:hAnsi="Times New Roman" w:eastAsia="仿宋_GB2312" w:cs="Times New Roman"/>
          <w:sz w:val="32"/>
          <w:szCs w:val="32"/>
        </w:rPr>
        <w:t>工作的合规性等。</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企业供应商</w:t>
      </w:r>
      <w:r>
        <w:rPr>
          <w:rFonts w:hint="default" w:ascii="Times New Roman" w:hAnsi="Times New Roman" w:eastAsia="仿宋_GB2312" w:cs="Times New Roman"/>
          <w:sz w:val="32"/>
          <w:szCs w:val="32"/>
          <w:lang w:eastAsia="zh-CN"/>
        </w:rPr>
        <w:t>审核</w:t>
      </w:r>
      <w:r>
        <w:rPr>
          <w:rFonts w:hint="default" w:ascii="Times New Roman" w:hAnsi="Times New Roman" w:eastAsia="仿宋_GB2312" w:cs="Times New Roman"/>
          <w:sz w:val="32"/>
          <w:szCs w:val="32"/>
        </w:rPr>
        <w:t>人员应当具有中药相关法规和中药材鉴别相关专业知识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具有足够的质量评估实践经验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color w:val="auto"/>
          <w:sz w:val="32"/>
          <w:szCs w:val="32"/>
          <w:lang w:val="en-US" w:eastAsia="zh-CN"/>
        </w:rPr>
        <w:t>开展评估前应当接受培训</w:t>
      </w:r>
      <w:r>
        <w:rPr>
          <w:rFonts w:hint="default" w:ascii="Times New Roman" w:hAnsi="Times New Roman" w:eastAsia="仿宋_GB2312" w:cs="Times New Roman"/>
          <w:color w:val="auto"/>
          <w:sz w:val="32"/>
          <w:szCs w:val="32"/>
        </w:rPr>
        <w:t>。</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企业中药材采购、验收人员应当接受专业培训和实操考核，培训内容应当与采购验收岗位要求及生产品种相适应，至少包括所采购品种的基原、产地、真伪品性状特征、药用部位、杂质等，确保其具备鉴别中药材真伪优劣的能力；考核内容应包括中药材外观性状的鉴别，杂质和霉变的判断，伪品、混淆品的区分等，考核合格后方可上岗；企业应当定期对其能力进行再确认。</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Cs/>
          <w:sz w:val="32"/>
          <w:szCs w:val="32"/>
          <w:lang w:eastAsia="zh-CN"/>
        </w:rPr>
      </w:pP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企业中药材取样人员应当结合中药材特性接受专项培训，规范取样行为，掌握规范的取样方法，确保取样操作符合规定、取样具有代表性、取样过程不影响中药材质量。</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楷体" w:hAnsi="楷体" w:eastAsia="楷体" w:cs="楷体"/>
          <w:bCs/>
          <w:sz w:val="32"/>
          <w:szCs w:val="32"/>
        </w:rPr>
      </w:pPr>
      <w:r>
        <w:rPr>
          <w:rFonts w:hint="eastAsia" w:ascii="楷体" w:hAnsi="楷体" w:eastAsia="楷体" w:cs="楷体"/>
          <w:bCs/>
          <w:sz w:val="32"/>
          <w:szCs w:val="32"/>
          <w:lang w:eastAsia="zh-CN"/>
        </w:rPr>
        <w:t>（二）</w:t>
      </w:r>
      <w:r>
        <w:rPr>
          <w:rFonts w:hint="eastAsia" w:ascii="楷体" w:hAnsi="楷体" w:eastAsia="楷体" w:cs="楷体"/>
          <w:bCs/>
          <w:sz w:val="32"/>
          <w:szCs w:val="32"/>
        </w:rPr>
        <w:t>审核</w:t>
      </w:r>
      <w:r>
        <w:rPr>
          <w:rFonts w:hint="eastAsia" w:ascii="楷体" w:hAnsi="楷体" w:eastAsia="楷体" w:cs="楷体"/>
          <w:bCs/>
          <w:sz w:val="32"/>
          <w:szCs w:val="32"/>
          <w:lang w:eastAsia="zh-CN"/>
        </w:rPr>
        <w:t>方式和</w:t>
      </w:r>
      <w:r>
        <w:rPr>
          <w:rFonts w:hint="eastAsia" w:ascii="楷体" w:hAnsi="楷体" w:eastAsia="楷体" w:cs="楷体"/>
          <w:bCs/>
          <w:sz w:val="32"/>
          <w:szCs w:val="32"/>
        </w:rPr>
        <w:t>内容</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供应商审核分为</w:t>
      </w:r>
      <w:r>
        <w:rPr>
          <w:rFonts w:hint="default" w:ascii="Times New Roman" w:hAnsi="Times New Roman" w:eastAsia="仿宋_GB2312" w:cs="Times New Roman"/>
          <w:sz w:val="32"/>
          <w:szCs w:val="32"/>
          <w:lang w:eastAsia="zh-CN"/>
        </w:rPr>
        <w:t>常规</w:t>
      </w:r>
      <w:r>
        <w:rPr>
          <w:rFonts w:hint="default" w:ascii="Times New Roman" w:hAnsi="Times New Roman" w:eastAsia="仿宋_GB2312" w:cs="Times New Roman"/>
          <w:sz w:val="32"/>
          <w:szCs w:val="32"/>
        </w:rPr>
        <w:t>审核</w:t>
      </w:r>
      <w:r>
        <w:rPr>
          <w:rFonts w:hint="default" w:ascii="Times New Roman" w:hAnsi="Times New Roman" w:eastAsia="仿宋_GB2312" w:cs="Times New Roman"/>
          <w:sz w:val="32"/>
          <w:szCs w:val="32"/>
          <w:lang w:val="en-US" w:eastAsia="zh-CN"/>
        </w:rPr>
        <w:t>和有因</w:t>
      </w:r>
      <w:r>
        <w:rPr>
          <w:rFonts w:hint="default" w:ascii="Times New Roman" w:hAnsi="Times New Roman" w:eastAsia="仿宋_GB2312" w:cs="Times New Roman"/>
          <w:sz w:val="32"/>
          <w:szCs w:val="32"/>
        </w:rPr>
        <w:t>审核</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企业</w:t>
      </w:r>
      <w:r>
        <w:rPr>
          <w:rFonts w:hint="default" w:ascii="Times New Roman" w:hAnsi="Times New Roman" w:eastAsia="仿宋_GB2312" w:cs="Times New Roman"/>
          <w:sz w:val="32"/>
          <w:szCs w:val="32"/>
          <w:lang w:val="en-US" w:eastAsia="zh-CN"/>
        </w:rPr>
        <w:t>应当根据</w:t>
      </w:r>
      <w:r>
        <w:rPr>
          <w:rFonts w:hint="default" w:ascii="Times New Roman" w:hAnsi="Times New Roman" w:eastAsia="仿宋_GB2312" w:cs="Times New Roman"/>
          <w:sz w:val="32"/>
          <w:szCs w:val="32"/>
        </w:rPr>
        <w:t>供应商类型、中药材品种特点</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关键质量属性和供应商</w:t>
      </w:r>
      <w:r>
        <w:rPr>
          <w:rFonts w:hint="default" w:ascii="Times New Roman" w:hAnsi="Times New Roman" w:eastAsia="仿宋_GB2312" w:cs="Times New Roman"/>
          <w:sz w:val="32"/>
          <w:szCs w:val="32"/>
          <w:lang w:eastAsia="zh-CN"/>
        </w:rPr>
        <w:t>风险情况</w:t>
      </w:r>
      <w:r>
        <w:rPr>
          <w:rFonts w:hint="default" w:ascii="Times New Roman" w:hAnsi="Times New Roman" w:eastAsia="仿宋_GB2312" w:cs="Times New Roman"/>
          <w:sz w:val="32"/>
          <w:szCs w:val="32"/>
        </w:rPr>
        <w:t>，结合自身实际制定差异化的审核内容与审核清单</w:t>
      </w:r>
      <w:r>
        <w:rPr>
          <w:rFonts w:hint="default" w:ascii="Times New Roman" w:hAnsi="Times New Roman" w:eastAsia="仿宋_GB2312" w:cs="Times New Roman"/>
          <w:sz w:val="32"/>
          <w:szCs w:val="32"/>
          <w:lang w:eastAsia="zh-CN"/>
        </w:rPr>
        <w:t>（详见附件</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。审核过程应当有原始记录，审核完成后基于质量风险、审核记录等形成明确审核结论，应当经全体审核人员签字确认。审核记录应当完整保存、不可篡改、可即时调阅。</w:t>
      </w:r>
      <w:r>
        <w:rPr>
          <w:rFonts w:hint="default" w:ascii="Times New Roman" w:hAnsi="Times New Roman" w:eastAsia="仿宋_GB2312" w:cs="Times New Roman"/>
          <w:sz w:val="32"/>
          <w:szCs w:val="32"/>
          <w:lang w:eastAsia="zh-CN"/>
        </w:rPr>
        <w:t>根据需要，常规审核和有因审核可以选择采取现场审核或者非现场审核方式进行。</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eastAsia="zh-CN"/>
        </w:rPr>
        <w:t>常规</w:t>
      </w:r>
      <w:r>
        <w:rPr>
          <w:rFonts w:hint="default" w:ascii="Times New Roman" w:hAnsi="Times New Roman" w:eastAsia="仿宋_GB2312" w:cs="Times New Roman"/>
          <w:sz w:val="32"/>
          <w:szCs w:val="32"/>
        </w:rPr>
        <w:t>审核：</w:t>
      </w:r>
      <w:r>
        <w:rPr>
          <w:rFonts w:hint="default" w:ascii="Times New Roman" w:hAnsi="Times New Roman" w:eastAsia="仿宋_GB2312" w:cs="Times New Roman"/>
          <w:sz w:val="32"/>
          <w:szCs w:val="32"/>
          <w:lang w:eastAsia="zh-CN"/>
        </w:rPr>
        <w:t>常规审核包括首次审核和定期审核。</w:t>
      </w:r>
    </w:p>
    <w:p>
      <w:pPr>
        <w:spacing w:after="0" w:line="600" w:lineRule="exact"/>
        <w:ind w:firstLine="640" w:firstLineChars="2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lang w:eastAsia="zh-CN"/>
        </w:rPr>
        <w:t>首次审核：</w:t>
      </w:r>
      <w:r>
        <w:rPr>
          <w:rFonts w:hint="default" w:ascii="Times New Roman" w:hAnsi="Times New Roman" w:eastAsia="仿宋_GB2312" w:cs="Times New Roman"/>
          <w:sz w:val="32"/>
          <w:szCs w:val="32"/>
        </w:rPr>
        <w:t>对首次合作的供应商</w:t>
      </w:r>
      <w:r>
        <w:rPr>
          <w:rFonts w:hint="default" w:ascii="Times New Roman" w:hAnsi="Times New Roman" w:eastAsia="仿宋_GB2312" w:cs="Times New Roman"/>
          <w:sz w:val="32"/>
          <w:szCs w:val="32"/>
          <w:lang w:val="en-US" w:eastAsia="zh-CN"/>
        </w:rPr>
        <w:t>及其中药材的审核，</w:t>
      </w:r>
      <w:r>
        <w:rPr>
          <w:rFonts w:hint="default" w:ascii="Times New Roman" w:hAnsi="Times New Roman" w:eastAsia="仿宋_GB2312" w:cs="Times New Roman"/>
          <w:sz w:val="32"/>
          <w:szCs w:val="32"/>
        </w:rPr>
        <w:t>企业应当对其质量管理体系、生产经营能力、质量控制水平及资源供给保障能力等进行全面审核。</w:t>
      </w:r>
      <w:r>
        <w:rPr>
          <w:rFonts w:hint="default" w:ascii="Times New Roman" w:hAnsi="Times New Roman" w:eastAsia="仿宋_GB2312" w:cs="Times New Roman"/>
          <w:sz w:val="32"/>
          <w:szCs w:val="32"/>
          <w:lang w:val="en-US" w:eastAsia="zh-CN"/>
        </w:rPr>
        <w:t>从非首次合作供应商首次采购中药材品种的，按照首次审核要求开展供应商审核。</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1.1.1</w:t>
      </w:r>
      <w:r>
        <w:rPr>
          <w:rFonts w:hint="default" w:ascii="Times New Roman" w:hAnsi="Times New Roman" w:eastAsia="仿宋_GB2312" w:cs="Times New Roman"/>
          <w:sz w:val="32"/>
          <w:szCs w:val="32"/>
        </w:rPr>
        <w:t>从中药材生产企业采购的，审核内容应当涵盖中药材基原、产地、种植养殖、采收（包括采收年限、采收时间等）、加工、包装与标识、贮藏与养护、发运管理、追溯管理、资源供给保障等关键质量要素</w:t>
      </w:r>
      <w:r>
        <w:rPr>
          <w:rFonts w:hint="default" w:ascii="Times New Roman" w:hAnsi="Times New Roman" w:eastAsia="仿宋_GB2312" w:cs="Times New Roman"/>
          <w:sz w:val="32"/>
          <w:szCs w:val="32"/>
          <w:lang w:eastAsia="zh-CN"/>
        </w:rPr>
        <w:t>（详见附件</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1.1.2</w:t>
      </w:r>
      <w:r>
        <w:rPr>
          <w:rFonts w:hint="default" w:ascii="Times New Roman" w:hAnsi="Times New Roman" w:eastAsia="仿宋_GB2312" w:cs="Times New Roman"/>
          <w:sz w:val="32"/>
          <w:szCs w:val="32"/>
        </w:rPr>
        <w:t>从中药材经营企业采购的，审核内容应当涵盖供应商</w:t>
      </w:r>
      <w:r>
        <w:rPr>
          <w:rFonts w:hint="default" w:ascii="Times New Roman" w:hAnsi="Times New Roman" w:eastAsia="仿宋_GB2312" w:cs="Times New Roman"/>
          <w:sz w:val="32"/>
          <w:szCs w:val="32"/>
          <w:lang w:eastAsia="zh-CN"/>
        </w:rPr>
        <w:t>质量评估</w:t>
      </w:r>
      <w:r>
        <w:rPr>
          <w:rFonts w:hint="default" w:ascii="Times New Roman" w:hAnsi="Times New Roman" w:eastAsia="仿宋_GB2312" w:cs="Times New Roman"/>
          <w:sz w:val="32"/>
          <w:szCs w:val="32"/>
        </w:rPr>
        <w:t>、贮藏与养护、发运管理、追溯管理、资源供给保障等关键质量要素</w:t>
      </w:r>
      <w:r>
        <w:rPr>
          <w:rFonts w:hint="default" w:ascii="Times New Roman" w:hAnsi="Times New Roman" w:eastAsia="仿宋_GB2312" w:cs="Times New Roman"/>
          <w:sz w:val="32"/>
          <w:szCs w:val="32"/>
          <w:lang w:eastAsia="zh-CN"/>
        </w:rPr>
        <w:t>，应当重点审核和评估上游货源及其种植养殖、采收加工及仓储养护等关键环节，</w:t>
      </w:r>
      <w:r>
        <w:rPr>
          <w:rFonts w:hint="default" w:ascii="Times New Roman" w:hAnsi="Times New Roman" w:eastAsia="仿宋_GB2312" w:cs="Times New Roman"/>
          <w:sz w:val="32"/>
          <w:szCs w:val="32"/>
        </w:rPr>
        <w:t>必要时，应当开展实地延伸审核</w:t>
      </w:r>
      <w:r>
        <w:rPr>
          <w:rFonts w:hint="default" w:ascii="Times New Roman" w:hAnsi="Times New Roman" w:eastAsia="仿宋_GB2312" w:cs="Times New Roman"/>
          <w:sz w:val="32"/>
          <w:szCs w:val="32"/>
          <w:lang w:eastAsia="zh-CN"/>
        </w:rPr>
        <w:t>（详见附件</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1.1.3采购用于</w:t>
      </w:r>
      <w:r>
        <w:rPr>
          <w:rFonts w:hint="default" w:ascii="Times New Roman" w:hAnsi="Times New Roman" w:eastAsia="仿宋_GB2312" w:cs="Times New Roman"/>
          <w:sz w:val="32"/>
          <w:szCs w:val="32"/>
          <w:lang w:eastAsia="zh-CN"/>
        </w:rPr>
        <w:t>中药注射剂、儿童用中成药等</w:t>
      </w:r>
      <w:r>
        <w:rPr>
          <w:rFonts w:hint="default" w:ascii="Times New Roman" w:hAnsi="Times New Roman" w:eastAsia="仿宋_GB2312" w:cs="Times New Roman"/>
          <w:sz w:val="32"/>
          <w:szCs w:val="32"/>
          <w:lang w:val="en-US" w:eastAsia="zh-CN"/>
        </w:rPr>
        <w:t>生产用中药材的</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企业原则上应当从中药材生产企业处采购，并重点审核中药材批间质量稳定情况，合理控制中药材质量偏差。</w:t>
      </w:r>
      <w:r>
        <w:rPr>
          <w:rFonts w:hint="default" w:ascii="Times New Roman" w:hAnsi="Times New Roman" w:eastAsia="仿宋_GB2312" w:cs="Times New Roman"/>
          <w:sz w:val="32"/>
          <w:szCs w:val="32"/>
        </w:rPr>
        <w:t>必要时</w:t>
      </w:r>
      <w:r>
        <w:rPr>
          <w:rFonts w:hint="default" w:ascii="Times New Roman" w:hAnsi="Times New Roman" w:eastAsia="仿宋_GB2312" w:cs="Times New Roman"/>
          <w:sz w:val="32"/>
          <w:szCs w:val="32"/>
          <w:lang w:eastAsia="zh-CN"/>
        </w:rPr>
        <w:t>应当</w:t>
      </w:r>
      <w:r>
        <w:rPr>
          <w:rFonts w:hint="default" w:ascii="Times New Roman" w:hAnsi="Times New Roman" w:eastAsia="仿宋_GB2312" w:cs="Times New Roman"/>
          <w:sz w:val="32"/>
          <w:szCs w:val="32"/>
        </w:rPr>
        <w:t>进行小批量试生产。</w:t>
      </w:r>
    </w:p>
    <w:p>
      <w:pPr>
        <w:spacing w:after="0" w:line="60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1.2定期审核：</w:t>
      </w:r>
      <w:r>
        <w:rPr>
          <w:rFonts w:hint="default" w:ascii="Times New Roman" w:hAnsi="Times New Roman" w:eastAsia="仿宋_GB2312" w:cs="Times New Roman"/>
          <w:sz w:val="32"/>
          <w:szCs w:val="32"/>
        </w:rPr>
        <w:t>企业应当对中药材定期开展质量评估，评估供应商质量稳定性和持续供货能力</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原则上，</w:t>
      </w:r>
      <w:r>
        <w:rPr>
          <w:rFonts w:hint="default" w:ascii="Times New Roman" w:hAnsi="Times New Roman" w:eastAsia="仿宋_GB2312" w:cs="Times New Roman"/>
          <w:sz w:val="32"/>
          <w:szCs w:val="32"/>
          <w:lang w:val="en-US" w:eastAsia="zh-CN"/>
        </w:rPr>
        <w:t>企业应当每年开展至少一次供应商审核工作</w:t>
      </w:r>
      <w:r>
        <w:rPr>
          <w:rFonts w:hint="default" w:ascii="Times New Roman" w:hAnsi="Times New Roman" w:eastAsia="仿宋_GB2312" w:cs="Times New Roman"/>
          <w:sz w:val="32"/>
          <w:szCs w:val="32"/>
        </w:rPr>
        <w:t>。</w:t>
      </w:r>
    </w:p>
    <w:p>
      <w:pPr>
        <w:spacing w:after="0" w:line="60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有因审核：发生下列情况时，企业应当针对问题根源及时对供应商开展有因审核，并根据审核结果采取相应风险控制措施</w:t>
      </w:r>
      <w:r>
        <w:rPr>
          <w:rFonts w:hint="default" w:ascii="Times New Roman" w:hAnsi="Times New Roman" w:eastAsia="仿宋_GB2312" w:cs="Times New Roman"/>
          <w:sz w:val="32"/>
          <w:szCs w:val="32"/>
          <w:lang w:eastAsia="zh-CN"/>
        </w:rPr>
        <w:t>。有因审核发起的核心前提为经评估相关问题与采购的中药材存在直接关联。</w:t>
      </w:r>
    </w:p>
    <w:p>
      <w:pPr>
        <w:spacing w:after="0" w:line="60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2.1</w:t>
      </w:r>
      <w:r>
        <w:rPr>
          <w:rFonts w:hint="default" w:ascii="Times New Roman" w:hAnsi="Times New Roman" w:eastAsia="仿宋_GB2312" w:cs="Times New Roman"/>
          <w:sz w:val="32"/>
          <w:szCs w:val="32"/>
        </w:rPr>
        <w:t>采购的中药材出现重大质量问题；</w:t>
      </w:r>
    </w:p>
    <w:p>
      <w:pPr>
        <w:spacing w:after="0" w:line="60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2.2</w:t>
      </w:r>
      <w:r>
        <w:rPr>
          <w:rFonts w:hint="default" w:ascii="Times New Roman" w:hAnsi="Times New Roman" w:eastAsia="仿宋_GB2312" w:cs="Times New Roman"/>
          <w:sz w:val="32"/>
          <w:szCs w:val="32"/>
        </w:rPr>
        <w:t>中药材检验合格率持续偏低；</w:t>
      </w:r>
    </w:p>
    <w:p>
      <w:pPr>
        <w:spacing w:after="0" w:line="60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2.3</w:t>
      </w:r>
      <w:r>
        <w:rPr>
          <w:rFonts w:hint="default" w:ascii="Times New Roman" w:hAnsi="Times New Roman" w:eastAsia="仿宋_GB2312" w:cs="Times New Roman"/>
          <w:sz w:val="32"/>
          <w:szCs w:val="32"/>
        </w:rPr>
        <w:t>供应商发生重大变更可能影响中药材质量或资源供给、供应稳定性；</w:t>
      </w:r>
    </w:p>
    <w:p>
      <w:pPr>
        <w:spacing w:after="0" w:line="60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2.4</w:t>
      </w:r>
      <w:r>
        <w:rPr>
          <w:rFonts w:hint="default" w:ascii="Times New Roman" w:hAnsi="Times New Roman" w:eastAsia="仿宋_GB2312" w:cs="Times New Roman"/>
          <w:sz w:val="32"/>
          <w:szCs w:val="32"/>
        </w:rPr>
        <w:t>监管部门公布供应商存在严重质量问题、违法违规通报；</w:t>
      </w:r>
    </w:p>
    <w:p>
      <w:pPr>
        <w:spacing w:after="0" w:line="60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2.5</w:t>
      </w:r>
      <w:r>
        <w:rPr>
          <w:rFonts w:hint="default" w:ascii="Times New Roman" w:hAnsi="Times New Roman" w:eastAsia="仿宋_GB2312" w:cs="Times New Roman"/>
          <w:sz w:val="32"/>
          <w:szCs w:val="32"/>
        </w:rPr>
        <w:t>供应商经营异常或社会信誉度显著下降；</w:t>
      </w:r>
    </w:p>
    <w:p>
      <w:pPr>
        <w:spacing w:after="0" w:line="60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2.6</w:t>
      </w:r>
      <w:r>
        <w:rPr>
          <w:rFonts w:hint="default" w:ascii="Times New Roman" w:hAnsi="Times New Roman" w:eastAsia="仿宋_GB2312" w:cs="Times New Roman"/>
          <w:sz w:val="32"/>
          <w:szCs w:val="32"/>
        </w:rPr>
        <w:t>其他可能影响中药材质量的情形。</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楷体" w:hAnsi="楷体" w:eastAsia="楷体" w:cs="楷体"/>
          <w:bCs/>
          <w:sz w:val="32"/>
          <w:szCs w:val="32"/>
        </w:rPr>
      </w:pPr>
      <w:r>
        <w:rPr>
          <w:rFonts w:hint="eastAsia" w:ascii="楷体" w:hAnsi="楷体" w:eastAsia="楷体" w:cs="楷体"/>
          <w:bCs/>
          <w:sz w:val="32"/>
          <w:szCs w:val="32"/>
        </w:rPr>
        <w:t>（</w:t>
      </w:r>
      <w:r>
        <w:rPr>
          <w:rFonts w:hint="eastAsia" w:ascii="楷体" w:hAnsi="楷体" w:eastAsia="楷体" w:cs="楷体"/>
          <w:bCs/>
          <w:sz w:val="32"/>
          <w:szCs w:val="32"/>
          <w:lang w:val="en-US" w:eastAsia="zh-CN"/>
        </w:rPr>
        <w:t>三</w:t>
      </w:r>
      <w:r>
        <w:rPr>
          <w:rFonts w:hint="eastAsia" w:ascii="楷体" w:hAnsi="楷体" w:eastAsia="楷体" w:cs="楷体"/>
          <w:bCs/>
          <w:sz w:val="32"/>
          <w:szCs w:val="32"/>
        </w:rPr>
        <w:t>）</w:t>
      </w:r>
      <w:r>
        <w:rPr>
          <w:rFonts w:hint="eastAsia" w:ascii="楷体" w:hAnsi="楷体" w:eastAsia="楷体" w:cs="楷体"/>
          <w:bCs/>
          <w:sz w:val="32"/>
          <w:szCs w:val="32"/>
          <w:lang w:eastAsia="zh-CN"/>
        </w:rPr>
        <w:t>审核</w:t>
      </w:r>
      <w:r>
        <w:rPr>
          <w:rFonts w:hint="eastAsia" w:ascii="楷体" w:hAnsi="楷体" w:eastAsia="楷体" w:cs="楷体"/>
          <w:bCs/>
          <w:sz w:val="32"/>
          <w:szCs w:val="32"/>
        </w:rPr>
        <w:t>流程</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企业应当按照以下流程开展供应商审核，确保审核工作规范、有序、可追溯：</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1.制定</w:t>
      </w:r>
      <w:r>
        <w:rPr>
          <w:rFonts w:hint="default" w:ascii="Times New Roman" w:hAnsi="Times New Roman" w:eastAsia="仿宋_GB2312" w:cs="Times New Roman"/>
          <w:sz w:val="32"/>
          <w:szCs w:val="32"/>
          <w:highlight w:val="none"/>
          <w:lang w:eastAsia="zh-CN"/>
        </w:rPr>
        <w:t>审核</w:t>
      </w:r>
      <w:r>
        <w:rPr>
          <w:rFonts w:hint="default" w:ascii="Times New Roman" w:hAnsi="Times New Roman" w:eastAsia="仿宋_GB2312" w:cs="Times New Roman"/>
          <w:sz w:val="32"/>
          <w:szCs w:val="32"/>
        </w:rPr>
        <w:t>标准：应当制定供</w:t>
      </w:r>
      <w:r>
        <w:rPr>
          <w:rFonts w:hint="default" w:ascii="Times New Roman" w:hAnsi="Times New Roman" w:eastAsia="仿宋_GB2312" w:cs="Times New Roman"/>
          <w:sz w:val="32"/>
          <w:szCs w:val="32"/>
          <w:highlight w:val="none"/>
        </w:rPr>
        <w:t>应商</w:t>
      </w:r>
      <w:r>
        <w:rPr>
          <w:rFonts w:hint="default" w:ascii="Times New Roman" w:hAnsi="Times New Roman" w:eastAsia="仿宋_GB2312" w:cs="Times New Roman"/>
          <w:sz w:val="32"/>
          <w:szCs w:val="32"/>
          <w:highlight w:val="none"/>
          <w:lang w:eastAsia="zh-CN"/>
        </w:rPr>
        <w:t>审核</w:t>
      </w:r>
      <w:r>
        <w:rPr>
          <w:rFonts w:hint="default" w:ascii="Times New Roman" w:hAnsi="Times New Roman" w:eastAsia="仿宋_GB2312" w:cs="Times New Roman"/>
          <w:sz w:val="32"/>
          <w:szCs w:val="32"/>
          <w:highlight w:val="none"/>
        </w:rPr>
        <w:t>标准，</w:t>
      </w:r>
      <w:r>
        <w:rPr>
          <w:rFonts w:hint="default" w:ascii="Times New Roman" w:hAnsi="Times New Roman" w:eastAsia="仿宋_GB2312" w:cs="Times New Roman"/>
          <w:sz w:val="32"/>
          <w:szCs w:val="32"/>
          <w:highlight w:val="none"/>
          <w:lang w:val="en-US" w:eastAsia="zh-CN"/>
        </w:rPr>
        <w:t>内容</w:t>
      </w:r>
      <w:r>
        <w:rPr>
          <w:rFonts w:hint="default" w:ascii="Times New Roman" w:hAnsi="Times New Roman" w:eastAsia="仿宋_GB2312" w:cs="Times New Roman"/>
          <w:sz w:val="32"/>
          <w:szCs w:val="32"/>
        </w:rPr>
        <w:t>至少包括供应商资质证明文件、中药材</w:t>
      </w:r>
      <w:r>
        <w:rPr>
          <w:rFonts w:hint="default" w:ascii="Times New Roman" w:hAnsi="Times New Roman" w:eastAsia="仿宋_GB2312" w:cs="Times New Roman"/>
          <w:sz w:val="32"/>
          <w:szCs w:val="32"/>
          <w:lang w:eastAsia="zh-CN"/>
        </w:rPr>
        <w:t>药品</w:t>
      </w:r>
      <w:r>
        <w:rPr>
          <w:rFonts w:hint="default" w:ascii="Times New Roman" w:hAnsi="Times New Roman" w:eastAsia="仿宋_GB2312" w:cs="Times New Roman"/>
          <w:sz w:val="32"/>
          <w:szCs w:val="32"/>
        </w:rPr>
        <w:t>标准、检验报告、企业对样品的检验数据和报告及资源供给、供应稳定性相关评估指标等；小批量试生产的</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还应当包括</w:t>
      </w:r>
      <w:r>
        <w:rPr>
          <w:rFonts w:hint="default" w:ascii="Times New Roman" w:hAnsi="Times New Roman" w:eastAsia="仿宋_GB2312" w:cs="Times New Roman"/>
          <w:sz w:val="32"/>
          <w:szCs w:val="32"/>
        </w:rPr>
        <w:t>小试产品质量检验报告、稳定性考察报告等。</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组建审核组：由质量管理部门</w:t>
      </w:r>
      <w:r>
        <w:rPr>
          <w:rFonts w:hint="default" w:ascii="Times New Roman" w:hAnsi="Times New Roman" w:eastAsia="仿宋_GB2312" w:cs="Times New Roman"/>
          <w:sz w:val="32"/>
          <w:szCs w:val="32"/>
          <w:lang w:eastAsia="zh-CN"/>
        </w:rPr>
        <w:t>、资源管理部门</w:t>
      </w:r>
      <w:r>
        <w:rPr>
          <w:rFonts w:hint="default" w:ascii="Times New Roman" w:hAnsi="Times New Roman" w:eastAsia="仿宋_GB2312" w:cs="Times New Roman"/>
          <w:sz w:val="32"/>
          <w:szCs w:val="32"/>
        </w:rPr>
        <w:t>组织企业相关部门人员组成审核组，审核组成员应当具有相关中药法规和专业知识及足够的质量评估和现场质量审核的实践经验。必要时审核人员应</w:t>
      </w:r>
      <w:r>
        <w:rPr>
          <w:rFonts w:hint="default" w:ascii="Times New Roman" w:hAnsi="Times New Roman" w:eastAsia="仿宋_GB2312" w:cs="Times New Roman"/>
          <w:sz w:val="32"/>
          <w:szCs w:val="32"/>
          <w:lang w:eastAsia="zh-CN"/>
        </w:rPr>
        <w:t>当</w:t>
      </w:r>
      <w:r>
        <w:rPr>
          <w:rFonts w:hint="default" w:ascii="Times New Roman" w:hAnsi="Times New Roman" w:eastAsia="仿宋_GB2312" w:cs="Times New Roman"/>
          <w:sz w:val="32"/>
          <w:szCs w:val="32"/>
        </w:rPr>
        <w:t>配备中药鉴定、种植</w:t>
      </w:r>
      <w:r>
        <w:rPr>
          <w:rFonts w:hint="default" w:ascii="Times New Roman" w:hAnsi="Times New Roman" w:eastAsia="仿宋_GB2312" w:cs="Times New Roman"/>
          <w:sz w:val="32"/>
          <w:szCs w:val="32"/>
          <w:lang w:val="en-US" w:eastAsia="zh-CN"/>
        </w:rPr>
        <w:t>养殖</w:t>
      </w:r>
      <w:r>
        <w:rPr>
          <w:rFonts w:hint="default" w:ascii="Times New Roman" w:hAnsi="Times New Roman" w:eastAsia="仿宋_GB2312" w:cs="Times New Roman"/>
          <w:sz w:val="32"/>
          <w:szCs w:val="32"/>
        </w:rPr>
        <w:t>方面的技术专家或</w:t>
      </w:r>
      <w:r>
        <w:rPr>
          <w:rFonts w:hint="default" w:ascii="Times New Roman" w:hAnsi="Times New Roman" w:eastAsia="仿宋_GB2312" w:cs="Times New Roman"/>
          <w:sz w:val="32"/>
          <w:szCs w:val="32"/>
          <w:lang w:eastAsia="zh-CN"/>
        </w:rPr>
        <w:t>者</w:t>
      </w:r>
      <w:r>
        <w:rPr>
          <w:rFonts w:hint="default" w:ascii="Times New Roman" w:hAnsi="Times New Roman" w:eastAsia="仿宋_GB2312" w:cs="Times New Roman"/>
          <w:sz w:val="32"/>
          <w:szCs w:val="32"/>
        </w:rPr>
        <w:t>老药工等。</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.制定审核方案：质量管理部门</w:t>
      </w:r>
      <w:r>
        <w:rPr>
          <w:rFonts w:hint="default" w:ascii="Times New Roman" w:hAnsi="Times New Roman" w:eastAsia="仿宋_GB2312" w:cs="Times New Roman"/>
          <w:sz w:val="32"/>
          <w:szCs w:val="32"/>
          <w:lang w:eastAsia="zh-CN"/>
        </w:rPr>
        <w:t>、资源管理部门</w:t>
      </w:r>
      <w:r>
        <w:rPr>
          <w:rFonts w:hint="default" w:ascii="Times New Roman" w:hAnsi="Times New Roman" w:eastAsia="仿宋_GB2312" w:cs="Times New Roman"/>
          <w:sz w:val="32"/>
          <w:szCs w:val="32"/>
        </w:rPr>
        <w:t>制定审核方案，明确审核目的、范围、内容、人员分工等，</w:t>
      </w:r>
      <w:r>
        <w:rPr>
          <w:rFonts w:hint="default" w:ascii="Times New Roman" w:hAnsi="Times New Roman" w:eastAsia="仿宋_GB2312" w:cs="Times New Roman"/>
          <w:sz w:val="32"/>
          <w:szCs w:val="32"/>
          <w:lang w:eastAsia="zh-CN"/>
        </w:rPr>
        <w:t>审核</w:t>
      </w:r>
      <w:r>
        <w:rPr>
          <w:rFonts w:hint="default" w:ascii="Times New Roman" w:hAnsi="Times New Roman" w:eastAsia="仿宋_GB2312" w:cs="Times New Roman"/>
          <w:sz w:val="32"/>
          <w:szCs w:val="32"/>
        </w:rPr>
        <w:t>方案应当由企业质量管理负责人批准后实施。</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.组织实施审核：按照审核方案</w:t>
      </w:r>
      <w:r>
        <w:rPr>
          <w:rFonts w:hint="default" w:ascii="Times New Roman" w:hAnsi="Times New Roman" w:eastAsia="仿宋_GB2312" w:cs="Times New Roman"/>
          <w:sz w:val="32"/>
          <w:szCs w:val="32"/>
          <w:lang w:eastAsia="zh-CN"/>
        </w:rPr>
        <w:t>组织实施</w:t>
      </w:r>
      <w:r>
        <w:rPr>
          <w:rFonts w:hint="default" w:ascii="Times New Roman" w:hAnsi="Times New Roman" w:eastAsia="仿宋_GB2312" w:cs="Times New Roman"/>
          <w:sz w:val="32"/>
          <w:szCs w:val="32"/>
        </w:rPr>
        <w:t>，审核相关资料和原始记录，对发现的问题及时确认并记录；基于风险评估</w:t>
      </w:r>
      <w:r>
        <w:rPr>
          <w:rFonts w:hint="default" w:ascii="Times New Roman" w:hAnsi="Times New Roman" w:eastAsia="仿宋_GB2312" w:cs="Times New Roman"/>
          <w:sz w:val="32"/>
          <w:szCs w:val="32"/>
          <w:lang w:val="en-US" w:eastAsia="zh-CN"/>
        </w:rPr>
        <w:t>识别影响</w:t>
      </w:r>
      <w:r>
        <w:rPr>
          <w:rFonts w:hint="default" w:ascii="Times New Roman" w:hAnsi="Times New Roman" w:eastAsia="仿宋_GB2312" w:cs="Times New Roman"/>
          <w:sz w:val="32"/>
          <w:szCs w:val="32"/>
        </w:rPr>
        <w:t>中药材质量的因素，对供应商的质量管理情况开展审核</w:t>
      </w:r>
      <w:r>
        <w:rPr>
          <w:rFonts w:hint="default" w:ascii="Times New Roman" w:hAnsi="Times New Roman" w:eastAsia="仿宋_GB2312" w:cs="Times New Roman"/>
          <w:sz w:val="32"/>
          <w:szCs w:val="32"/>
          <w:lang w:eastAsia="zh-CN"/>
        </w:rPr>
        <w:t>。</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.形成</w:t>
      </w:r>
      <w:r>
        <w:rPr>
          <w:rFonts w:hint="default" w:ascii="Times New Roman" w:hAnsi="Times New Roman" w:eastAsia="仿宋_GB2312" w:cs="Times New Roman"/>
          <w:sz w:val="32"/>
          <w:szCs w:val="32"/>
          <w:lang w:eastAsia="zh-CN"/>
        </w:rPr>
        <w:t>审核</w:t>
      </w:r>
      <w:r>
        <w:rPr>
          <w:rFonts w:hint="default" w:ascii="Times New Roman" w:hAnsi="Times New Roman" w:eastAsia="仿宋_GB2312" w:cs="Times New Roman"/>
          <w:sz w:val="32"/>
          <w:szCs w:val="32"/>
        </w:rPr>
        <w:t>报告：审核完成后，应当及时出具审核报告，报告应</w:t>
      </w:r>
      <w:r>
        <w:rPr>
          <w:rFonts w:hint="default" w:ascii="Times New Roman" w:hAnsi="Times New Roman" w:eastAsia="仿宋_GB2312" w:cs="Times New Roman"/>
          <w:sz w:val="32"/>
          <w:szCs w:val="32"/>
          <w:lang w:eastAsia="zh-CN"/>
        </w:rPr>
        <w:t>当</w:t>
      </w:r>
      <w:r>
        <w:rPr>
          <w:rFonts w:hint="default" w:ascii="Times New Roman" w:hAnsi="Times New Roman" w:eastAsia="仿宋_GB2312" w:cs="Times New Roman"/>
          <w:sz w:val="32"/>
          <w:szCs w:val="32"/>
        </w:rPr>
        <w:t>完整、准确、简明，至少包括供应商基本信息、审核概况、审核发现问题、质量风险评估、资源供给与供应稳定性评估结论、审核结论及整改建议等内容，审核报告还应</w:t>
      </w:r>
      <w:r>
        <w:rPr>
          <w:rFonts w:hint="default" w:ascii="Times New Roman" w:hAnsi="Times New Roman" w:eastAsia="仿宋_GB2312" w:cs="Times New Roman"/>
          <w:sz w:val="32"/>
          <w:szCs w:val="32"/>
          <w:lang w:eastAsia="zh-CN"/>
        </w:rPr>
        <w:t>当</w:t>
      </w:r>
      <w:r>
        <w:rPr>
          <w:rFonts w:hint="default" w:ascii="Times New Roman" w:hAnsi="Times New Roman" w:eastAsia="仿宋_GB2312" w:cs="Times New Roman"/>
          <w:sz w:val="32"/>
          <w:szCs w:val="32"/>
        </w:rPr>
        <w:t>明确中药材的基原、产地、产量等核心信息。</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color w:val="000000" w:themeColor="text1"/>
          <w:sz w:val="32"/>
          <w:szCs w:val="32"/>
          <w14:textFill>
            <w14:solidFill>
              <w14:schemeClr w14:val="tx1"/>
            </w14:solidFill>
          </w14:textFill>
        </w:rPr>
        <w:t>发现</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存在</w:t>
      </w:r>
      <w:r>
        <w:rPr>
          <w:rFonts w:hint="default" w:ascii="Times New Roman" w:hAnsi="Times New Roman" w:eastAsia="仿宋_GB2312" w:cs="Times New Roman"/>
          <w:color w:val="000000" w:themeColor="text1"/>
          <w:sz w:val="32"/>
          <w:szCs w:val="32"/>
          <w14:textFill>
            <w14:solidFill>
              <w14:schemeClr w14:val="tx1"/>
            </w14:solidFill>
          </w14:textFill>
        </w:rPr>
        <w:t>以下情形之一的，</w:t>
      </w:r>
      <w:r>
        <w:rPr>
          <w:rFonts w:hint="default" w:ascii="Times New Roman" w:hAnsi="Times New Roman" w:eastAsia="仿宋_GB2312" w:cs="Times New Roman"/>
          <w:sz w:val="32"/>
          <w:szCs w:val="32"/>
          <w:lang w:eastAsia="zh-CN"/>
        </w:rPr>
        <w:t>应当作出不</w:t>
      </w:r>
      <w:r>
        <w:rPr>
          <w:rFonts w:hint="default" w:ascii="Times New Roman" w:hAnsi="Times New Roman" w:eastAsia="仿宋_GB2312" w:cs="Times New Roman"/>
          <w:sz w:val="32"/>
          <w:szCs w:val="32"/>
        </w:rPr>
        <w:t>纳入合格供应商</w:t>
      </w:r>
      <w:r>
        <w:rPr>
          <w:rFonts w:hint="default" w:ascii="Times New Roman" w:hAnsi="Times New Roman" w:eastAsia="仿宋_GB2312" w:cs="Times New Roman"/>
          <w:sz w:val="32"/>
          <w:szCs w:val="32"/>
          <w:lang w:eastAsia="zh-CN"/>
        </w:rPr>
        <w:t>的结论</w:t>
      </w:r>
      <w:r>
        <w:rPr>
          <w:rFonts w:hint="default" w:ascii="Times New Roman" w:hAnsi="Times New Roman" w:eastAsia="仿宋_GB2312" w:cs="Times New Roman"/>
          <w:sz w:val="32"/>
          <w:szCs w:val="32"/>
        </w:rPr>
        <w:t>。</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6.1.</w:t>
      </w:r>
      <w:r>
        <w:rPr>
          <w:rFonts w:hint="default" w:ascii="Times New Roman" w:hAnsi="Times New Roman" w:eastAsia="仿宋_GB2312" w:cs="Times New Roman"/>
          <w:sz w:val="32"/>
          <w:szCs w:val="32"/>
        </w:rPr>
        <w:t>供应商存在</w:t>
      </w:r>
      <w:bookmarkStart w:id="4" w:name="OLE_LINK1"/>
      <w:bookmarkStart w:id="5" w:name="OLE_LINK2"/>
      <w:r>
        <w:rPr>
          <w:rFonts w:hint="default" w:ascii="Times New Roman" w:hAnsi="Times New Roman" w:eastAsia="仿宋_GB2312" w:cs="Times New Roman"/>
          <w:sz w:val="32"/>
          <w:szCs w:val="32"/>
        </w:rPr>
        <w:t>染色增重、掺杂使假、以假充真</w:t>
      </w:r>
      <w:bookmarkEnd w:id="4"/>
      <w:bookmarkEnd w:id="5"/>
      <w:r>
        <w:rPr>
          <w:rFonts w:hint="default" w:ascii="Times New Roman" w:hAnsi="Times New Roman" w:eastAsia="仿宋_GB2312" w:cs="Times New Roman"/>
          <w:sz w:val="32"/>
          <w:szCs w:val="32"/>
        </w:rPr>
        <w:t>等严重质量问题；</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6.2.中药材</w:t>
      </w:r>
      <w:r>
        <w:rPr>
          <w:rFonts w:hint="default" w:ascii="Times New Roman" w:hAnsi="Times New Roman" w:eastAsia="仿宋_GB2312" w:cs="Times New Roman"/>
          <w:sz w:val="32"/>
          <w:szCs w:val="32"/>
        </w:rPr>
        <w:t>基原、产地、追溯性存在严重问题</w:t>
      </w:r>
      <w:r>
        <w:rPr>
          <w:rFonts w:hint="default" w:ascii="Times New Roman" w:hAnsi="Times New Roman" w:eastAsia="仿宋_GB2312" w:cs="Times New Roman"/>
          <w:sz w:val="32"/>
          <w:szCs w:val="32"/>
          <w:lang w:eastAsia="zh-CN"/>
        </w:rPr>
        <w:t>；</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6.3.</w:t>
      </w:r>
      <w:r>
        <w:rPr>
          <w:rFonts w:hint="default" w:ascii="Times New Roman" w:hAnsi="Times New Roman" w:eastAsia="仿宋_GB2312" w:cs="Times New Roman"/>
          <w:sz w:val="32"/>
          <w:szCs w:val="32"/>
        </w:rPr>
        <w:t>拒绝、不</w:t>
      </w:r>
      <w:r>
        <w:rPr>
          <w:rFonts w:hint="default" w:ascii="Times New Roman" w:hAnsi="Times New Roman" w:eastAsia="仿宋_GB2312" w:cs="Times New Roman"/>
          <w:sz w:val="32"/>
          <w:szCs w:val="32"/>
          <w:lang w:val="en-US" w:eastAsia="zh-CN"/>
        </w:rPr>
        <w:t>能</w:t>
      </w:r>
      <w:r>
        <w:rPr>
          <w:rFonts w:hint="default" w:ascii="Times New Roman" w:hAnsi="Times New Roman" w:eastAsia="仿宋_GB2312" w:cs="Times New Roman"/>
          <w:sz w:val="32"/>
          <w:szCs w:val="32"/>
        </w:rPr>
        <w:t>配合</w:t>
      </w:r>
      <w:r>
        <w:rPr>
          <w:rFonts w:hint="default" w:ascii="Times New Roman" w:hAnsi="Times New Roman" w:eastAsia="仿宋_GB2312" w:cs="Times New Roman"/>
          <w:sz w:val="32"/>
          <w:szCs w:val="32"/>
          <w:lang w:val="en-US" w:eastAsia="zh-CN"/>
        </w:rPr>
        <w:t>企业开展供应商审核的；</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6.4.资源供给与供应稳定性保障上存在重大隐患；</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6.5.其他导致药品质量存在严重问题的</w:t>
      </w:r>
      <w:r>
        <w:rPr>
          <w:rFonts w:hint="default" w:ascii="Times New Roman" w:hAnsi="Times New Roman" w:eastAsia="仿宋_GB2312" w:cs="Times New Roman"/>
          <w:sz w:val="32"/>
          <w:szCs w:val="32"/>
        </w:rPr>
        <w:t>情形</w:t>
      </w:r>
      <w:r>
        <w:rPr>
          <w:rFonts w:hint="default" w:ascii="Times New Roman" w:hAnsi="Times New Roman" w:eastAsia="仿宋_GB2312" w:cs="Times New Roman"/>
          <w:sz w:val="32"/>
          <w:szCs w:val="32"/>
          <w:lang w:val="en-US" w:eastAsia="zh-CN"/>
        </w:rPr>
        <w:t>。</w:t>
      </w:r>
    </w:p>
    <w:p>
      <w:pPr>
        <w:keepNext w:val="0"/>
        <w:keepLines w:val="0"/>
        <w:pageBreakBefore w:val="0"/>
        <w:numPr>
          <w:ilvl w:val="-1"/>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供应商批准：质量管理部门根据审核报告和</w:t>
      </w:r>
      <w:r>
        <w:rPr>
          <w:rFonts w:hint="default" w:ascii="Times New Roman" w:hAnsi="Times New Roman" w:eastAsia="仿宋_GB2312" w:cs="Times New Roman"/>
          <w:sz w:val="32"/>
          <w:szCs w:val="32"/>
          <w:lang w:eastAsia="zh-CN"/>
        </w:rPr>
        <w:t>审核</w:t>
      </w:r>
      <w:r>
        <w:rPr>
          <w:rFonts w:hint="default" w:ascii="Times New Roman" w:hAnsi="Times New Roman" w:eastAsia="仿宋_GB2312" w:cs="Times New Roman"/>
          <w:sz w:val="32"/>
          <w:szCs w:val="32"/>
        </w:rPr>
        <w:t>标准进行综合评估，结合资源供给与供应稳定性情况，经企业质量管理负责人批准，审核合格的纳入合格供应商名单。</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合格供应商名单内容至少包括中药材</w:t>
      </w:r>
      <w:r>
        <w:rPr>
          <w:rFonts w:hint="default"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名称、基原、产地、采收期、规格、</w:t>
      </w:r>
      <w:r>
        <w:rPr>
          <w:rFonts w:hint="default" w:ascii="Times New Roman" w:hAnsi="Times New Roman" w:eastAsia="仿宋_GB2312" w:cs="Times New Roman"/>
          <w:sz w:val="32"/>
          <w:szCs w:val="32"/>
          <w:lang w:eastAsia="zh-CN"/>
        </w:rPr>
        <w:t>药品</w:t>
      </w:r>
      <w:r>
        <w:rPr>
          <w:rFonts w:hint="default" w:ascii="Times New Roman" w:hAnsi="Times New Roman" w:eastAsia="仿宋_GB2312" w:cs="Times New Roman"/>
          <w:sz w:val="32"/>
          <w:szCs w:val="32"/>
          <w:highlight w:val="none"/>
        </w:rPr>
        <w:t>标准</w:t>
      </w:r>
      <w:r>
        <w:rPr>
          <w:rFonts w:hint="default" w:ascii="Times New Roman" w:hAnsi="Times New Roman" w:eastAsia="仿宋_GB2312" w:cs="Times New Roman"/>
          <w:sz w:val="32"/>
          <w:szCs w:val="32"/>
        </w:rPr>
        <w:t>、生产商 / 经销商信息、供应商</w:t>
      </w:r>
      <w:r>
        <w:rPr>
          <w:rFonts w:hint="default" w:ascii="Times New Roman" w:hAnsi="Times New Roman" w:eastAsia="仿宋_GB2312" w:cs="Times New Roman"/>
          <w:sz w:val="32"/>
          <w:szCs w:val="32"/>
          <w:lang w:eastAsia="zh-CN"/>
        </w:rPr>
        <w:t>类型</w:t>
      </w:r>
      <w:r>
        <w:rPr>
          <w:rFonts w:hint="default" w:ascii="Times New Roman" w:hAnsi="Times New Roman" w:eastAsia="仿宋_GB2312" w:cs="Times New Roman"/>
          <w:sz w:val="32"/>
          <w:szCs w:val="32"/>
        </w:rPr>
        <w:t>、审核日期等。</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（四）质量协议</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企业应当与合格供应商签订质量协议，明确双方质量责任和中药材质量核心要求，兼顾资源供给保障及供应稳定性相关约定</w:t>
      </w:r>
      <w:r>
        <w:rPr>
          <w:rFonts w:hint="default" w:ascii="Times New Roman" w:hAnsi="Times New Roman" w:eastAsia="仿宋_GB2312" w:cs="Times New Roman"/>
          <w:sz w:val="32"/>
          <w:szCs w:val="32"/>
          <w:lang w:eastAsia="zh-CN"/>
        </w:rPr>
        <w:t>。</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质量协议应当至少包括中药材基原、产地、采收期（采收年限、采收时间）、药用部位、产地加工方法、</w:t>
      </w:r>
      <w:r>
        <w:rPr>
          <w:rFonts w:hint="default" w:ascii="Times New Roman" w:hAnsi="Times New Roman" w:eastAsia="仿宋_GB2312" w:cs="Times New Roman"/>
          <w:sz w:val="32"/>
          <w:szCs w:val="32"/>
          <w:lang w:val="en-US" w:eastAsia="zh-CN"/>
        </w:rPr>
        <w:t>药品标准、</w:t>
      </w:r>
      <w:r>
        <w:rPr>
          <w:rFonts w:hint="default" w:ascii="Times New Roman" w:hAnsi="Times New Roman" w:eastAsia="仿宋_GB2312" w:cs="Times New Roman"/>
          <w:sz w:val="32"/>
          <w:szCs w:val="32"/>
        </w:rPr>
        <w:t>农业投入品（如适用）、干燥方式（如适用）等核心质量要求，</w:t>
      </w:r>
      <w:r>
        <w:rPr>
          <w:rFonts w:hint="default" w:ascii="Times New Roman" w:hAnsi="Times New Roman" w:eastAsia="仿宋_GB2312" w:cs="Times New Roman"/>
          <w:sz w:val="32"/>
          <w:szCs w:val="32"/>
          <w:lang w:val="en-US" w:eastAsia="zh-CN"/>
        </w:rPr>
        <w:t>以及</w:t>
      </w:r>
      <w:r>
        <w:rPr>
          <w:rFonts w:hint="default" w:ascii="Times New Roman" w:hAnsi="Times New Roman" w:eastAsia="仿宋_GB2312" w:cs="Times New Roman"/>
          <w:sz w:val="32"/>
          <w:szCs w:val="32"/>
        </w:rPr>
        <w:t>检验报告内容要求（如适用），包装标识、仓储运输要求，质量相关变更提前告知义务，质量问题</w:t>
      </w:r>
      <w:r>
        <w:rPr>
          <w:rFonts w:hint="default" w:ascii="Times New Roman" w:hAnsi="Times New Roman" w:eastAsia="仿宋_GB2312" w:cs="Times New Roman"/>
          <w:sz w:val="32"/>
          <w:szCs w:val="32"/>
          <w:lang w:val="en-US" w:eastAsia="zh-CN"/>
        </w:rPr>
        <w:t>及供应保障问题</w:t>
      </w:r>
      <w:r>
        <w:rPr>
          <w:rFonts w:hint="default" w:ascii="Times New Roman" w:hAnsi="Times New Roman" w:eastAsia="仿宋_GB2312" w:cs="Times New Roman"/>
          <w:sz w:val="32"/>
          <w:szCs w:val="32"/>
        </w:rPr>
        <w:t>处理及违约责任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等</w:t>
      </w:r>
      <w:r>
        <w:rPr>
          <w:rFonts w:hint="default" w:ascii="Times New Roman" w:hAnsi="Times New Roman" w:eastAsia="仿宋_GB2312" w:cs="Times New Roman"/>
          <w:sz w:val="32"/>
          <w:szCs w:val="32"/>
          <w:lang w:val="en-US" w:eastAsia="zh-CN"/>
        </w:rPr>
        <w:t>等</w:t>
      </w:r>
      <w:r>
        <w:rPr>
          <w:rFonts w:hint="default" w:ascii="Times New Roman" w:hAnsi="Times New Roman" w:eastAsia="仿宋_GB2312" w:cs="Times New Roman"/>
          <w:sz w:val="32"/>
          <w:szCs w:val="32"/>
        </w:rPr>
        <w:t>内容</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应当明确供应商需按要求配合企业及药品监</w:t>
      </w:r>
      <w:r>
        <w:rPr>
          <w:rFonts w:hint="default" w:ascii="Times New Roman" w:hAnsi="Times New Roman" w:eastAsia="仿宋_GB2312" w:cs="Times New Roman"/>
          <w:sz w:val="32"/>
          <w:szCs w:val="32"/>
          <w:lang w:eastAsia="zh-CN"/>
        </w:rPr>
        <w:t>督</w:t>
      </w:r>
      <w:r>
        <w:rPr>
          <w:rFonts w:hint="default" w:ascii="Times New Roman" w:hAnsi="Times New Roman" w:eastAsia="仿宋_GB2312" w:cs="Times New Roman"/>
          <w:sz w:val="32"/>
          <w:szCs w:val="32"/>
        </w:rPr>
        <w:t>管</w:t>
      </w:r>
      <w:r>
        <w:rPr>
          <w:rFonts w:hint="default" w:ascii="Times New Roman" w:hAnsi="Times New Roman" w:eastAsia="仿宋_GB2312" w:cs="Times New Roman"/>
          <w:sz w:val="32"/>
          <w:szCs w:val="32"/>
          <w:lang w:eastAsia="zh-CN"/>
        </w:rPr>
        <w:t>理</w:t>
      </w:r>
      <w:r>
        <w:rPr>
          <w:rFonts w:hint="default" w:ascii="Times New Roman" w:hAnsi="Times New Roman" w:eastAsia="仿宋_GB2312" w:cs="Times New Roman"/>
          <w:sz w:val="32"/>
          <w:szCs w:val="32"/>
        </w:rPr>
        <w:t>部门对中药材产地开展延伸检查。</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供应商</w:t>
      </w:r>
      <w:r>
        <w:rPr>
          <w:rFonts w:hint="default" w:ascii="Times New Roman" w:hAnsi="Times New Roman" w:eastAsia="仿宋_GB2312" w:cs="Times New Roman"/>
          <w:sz w:val="32"/>
          <w:szCs w:val="32"/>
        </w:rPr>
        <w:t>变更时应当重新签订</w:t>
      </w:r>
      <w:r>
        <w:rPr>
          <w:rFonts w:hint="default" w:ascii="Times New Roman" w:hAnsi="Times New Roman" w:eastAsia="仿宋_GB2312" w:cs="Times New Roman"/>
          <w:sz w:val="32"/>
          <w:szCs w:val="32"/>
          <w:lang w:val="en-US" w:eastAsia="zh-CN"/>
        </w:rPr>
        <w:t>质量协议</w:t>
      </w:r>
      <w:r>
        <w:rPr>
          <w:rFonts w:hint="default" w:ascii="Times New Roman" w:hAnsi="Times New Roman" w:eastAsia="仿宋_GB2312" w:cs="Times New Roman"/>
          <w:sz w:val="32"/>
          <w:szCs w:val="32"/>
        </w:rPr>
        <w:t>。</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Cs/>
          <w:sz w:val="32"/>
          <w:szCs w:val="32"/>
        </w:rPr>
      </w:pPr>
      <w:r>
        <w:rPr>
          <w:rFonts w:hint="eastAsia" w:ascii="黑体" w:hAnsi="黑体" w:eastAsia="黑体" w:cs="黑体"/>
          <w:bCs/>
          <w:sz w:val="32"/>
          <w:szCs w:val="32"/>
          <w:lang w:eastAsia="zh-CN"/>
        </w:rPr>
        <w:t>五、</w:t>
      </w:r>
      <w:r>
        <w:rPr>
          <w:rFonts w:hint="eastAsia" w:ascii="黑体" w:hAnsi="黑体" w:eastAsia="黑体" w:cs="黑体"/>
          <w:bCs/>
          <w:sz w:val="32"/>
          <w:szCs w:val="32"/>
        </w:rPr>
        <w:t>供应商管理</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w:t>
      </w:r>
      <w:r>
        <w:rPr>
          <w:rFonts w:hint="eastAsia" w:ascii="楷体" w:hAnsi="楷体" w:eastAsia="楷体" w:cs="楷体"/>
          <w:sz w:val="32"/>
          <w:szCs w:val="32"/>
          <w:lang w:eastAsia="zh-CN"/>
        </w:rPr>
        <w:t>供应商动态管理</w:t>
      </w:r>
      <w:r>
        <w:rPr>
          <w:rFonts w:hint="eastAsia" w:ascii="楷体" w:hAnsi="楷体" w:eastAsia="楷体" w:cs="楷体"/>
          <w:sz w:val="32"/>
          <w:szCs w:val="32"/>
          <w:lang w:val="en-US" w:eastAsia="zh-CN"/>
        </w:rPr>
        <w:t>机制</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企业应当</w:t>
      </w:r>
      <w:r>
        <w:rPr>
          <w:rFonts w:hint="default" w:ascii="Times New Roman" w:hAnsi="Times New Roman" w:eastAsia="仿宋_GB2312" w:cs="Times New Roman"/>
          <w:sz w:val="32"/>
          <w:szCs w:val="32"/>
        </w:rPr>
        <w:t>建立供应商</w:t>
      </w:r>
      <w:r>
        <w:rPr>
          <w:rFonts w:hint="default" w:ascii="Times New Roman" w:hAnsi="Times New Roman" w:eastAsia="仿宋_GB2312" w:cs="Times New Roman"/>
          <w:sz w:val="32"/>
          <w:szCs w:val="32"/>
          <w:lang w:eastAsia="zh-CN"/>
        </w:rPr>
        <w:t>年度</w:t>
      </w:r>
      <w:r>
        <w:rPr>
          <w:rFonts w:hint="default" w:ascii="Times New Roman" w:hAnsi="Times New Roman" w:eastAsia="仿宋_GB2312" w:cs="Times New Roman"/>
          <w:sz w:val="32"/>
          <w:szCs w:val="32"/>
          <w:lang w:val="en-US" w:eastAsia="zh-CN"/>
        </w:rPr>
        <w:t>评估</w:t>
      </w:r>
      <w:r>
        <w:rPr>
          <w:rFonts w:hint="default" w:ascii="Times New Roman" w:hAnsi="Times New Roman" w:eastAsia="仿宋_GB2312" w:cs="Times New Roman"/>
          <w:sz w:val="32"/>
          <w:szCs w:val="32"/>
        </w:rPr>
        <w:t>机制，</w:t>
      </w:r>
      <w:r>
        <w:rPr>
          <w:rFonts w:hint="default" w:ascii="Times New Roman" w:hAnsi="Times New Roman" w:eastAsia="仿宋_GB2312" w:cs="Times New Roman"/>
          <w:sz w:val="32"/>
          <w:szCs w:val="32"/>
          <w:lang w:eastAsia="zh-CN"/>
        </w:rPr>
        <w:t>对</w:t>
      </w:r>
      <w:r>
        <w:rPr>
          <w:rFonts w:hint="default" w:ascii="Times New Roman" w:hAnsi="Times New Roman" w:eastAsia="仿宋_GB2312" w:cs="Times New Roman"/>
          <w:sz w:val="32"/>
          <w:szCs w:val="32"/>
        </w:rPr>
        <w:t>合格供应商名单应当实行动态管理</w:t>
      </w:r>
      <w:r>
        <w:rPr>
          <w:rFonts w:hint="default" w:ascii="Times New Roman" w:hAnsi="Times New Roman" w:eastAsia="仿宋_GB2312" w:cs="Times New Roman"/>
          <w:sz w:val="32"/>
          <w:szCs w:val="32"/>
          <w:lang w:eastAsia="zh-CN"/>
        </w:rPr>
        <w:t>。应当</w:t>
      </w:r>
      <w:r>
        <w:rPr>
          <w:rFonts w:hint="default" w:ascii="Times New Roman" w:hAnsi="Times New Roman" w:eastAsia="仿宋_GB2312" w:cs="Times New Roman"/>
          <w:sz w:val="32"/>
          <w:szCs w:val="32"/>
        </w:rPr>
        <w:t>结合中药材检验合格率、供货及时性、整改完成情况及资源供给稳定性等指标开展</w:t>
      </w:r>
      <w:r>
        <w:rPr>
          <w:rFonts w:hint="default" w:ascii="Times New Roman" w:hAnsi="Times New Roman" w:eastAsia="仿宋_GB2312" w:cs="Times New Roman"/>
          <w:sz w:val="32"/>
          <w:szCs w:val="32"/>
          <w:lang w:val="en-US" w:eastAsia="zh-CN"/>
        </w:rPr>
        <w:t>评估</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至少包括供应商资质、</w:t>
      </w:r>
      <w:r>
        <w:rPr>
          <w:rFonts w:hint="default" w:ascii="Times New Roman" w:hAnsi="Times New Roman" w:eastAsia="仿宋_GB2312" w:cs="Times New Roman"/>
          <w:sz w:val="32"/>
          <w:szCs w:val="32"/>
          <w:highlight w:val="none"/>
          <w:lang w:eastAsia="zh-CN"/>
        </w:rPr>
        <w:t>中药材药品</w:t>
      </w:r>
      <w:r>
        <w:rPr>
          <w:rFonts w:hint="default" w:ascii="Times New Roman" w:hAnsi="Times New Roman" w:eastAsia="仿宋_GB2312" w:cs="Times New Roman"/>
          <w:sz w:val="32"/>
          <w:szCs w:val="32"/>
          <w:highlight w:val="none"/>
        </w:rPr>
        <w:t>标准</w:t>
      </w:r>
      <w:r>
        <w:rPr>
          <w:rFonts w:hint="default" w:ascii="Times New Roman" w:hAnsi="Times New Roman" w:eastAsia="仿宋_GB2312" w:cs="Times New Roman"/>
          <w:sz w:val="32"/>
          <w:szCs w:val="32"/>
        </w:rPr>
        <w:t>、检验报告、追溯记录及资源供给相关资料等</w:t>
      </w:r>
      <w:r>
        <w:rPr>
          <w:rFonts w:hint="default" w:ascii="Times New Roman" w:hAnsi="Times New Roman" w:eastAsia="仿宋_GB2312" w:cs="Times New Roman"/>
          <w:sz w:val="32"/>
          <w:szCs w:val="32"/>
          <w:lang w:eastAsia="zh-CN"/>
        </w:rPr>
        <w:t>。应当形成年度</w:t>
      </w:r>
      <w:r>
        <w:rPr>
          <w:rFonts w:hint="default" w:ascii="Times New Roman" w:hAnsi="Times New Roman" w:eastAsia="仿宋_GB2312" w:cs="Times New Roman"/>
          <w:sz w:val="32"/>
          <w:szCs w:val="32"/>
          <w:lang w:val="en-US" w:eastAsia="zh-CN"/>
        </w:rPr>
        <w:t>评估</w:t>
      </w:r>
      <w:r>
        <w:rPr>
          <w:rFonts w:hint="default" w:ascii="Times New Roman" w:hAnsi="Times New Roman" w:eastAsia="仿宋_GB2312" w:cs="Times New Roman"/>
          <w:sz w:val="32"/>
          <w:szCs w:val="32"/>
          <w:lang w:eastAsia="zh-CN"/>
        </w:rPr>
        <w:t>报告，并纳入供应商档案</w:t>
      </w:r>
      <w:r>
        <w:rPr>
          <w:rFonts w:hint="default" w:ascii="Times New Roman" w:hAnsi="Times New Roman" w:eastAsia="仿宋_GB2312" w:cs="Times New Roman"/>
          <w:sz w:val="32"/>
          <w:szCs w:val="32"/>
        </w:rPr>
        <w:t>。</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.企业应当</w:t>
      </w:r>
      <w:r>
        <w:rPr>
          <w:rFonts w:hint="default" w:ascii="Times New Roman" w:hAnsi="Times New Roman" w:eastAsia="仿宋_GB2312" w:cs="Times New Roman"/>
          <w:sz w:val="32"/>
          <w:szCs w:val="32"/>
          <w:lang w:eastAsia="zh-CN"/>
        </w:rPr>
        <w:t>结合供应商质量管理体系运行情况，综合该供应商持续供货能力及所供中药材质量稳定性等，确定供应商定期审核方式</w:t>
      </w:r>
      <w:r>
        <w:rPr>
          <w:rFonts w:hint="default" w:ascii="Times New Roman" w:hAnsi="Times New Roman" w:eastAsia="仿宋_GB2312" w:cs="Times New Roman"/>
          <w:sz w:val="32"/>
          <w:szCs w:val="32"/>
          <w:lang w:val="en-US" w:eastAsia="zh-CN"/>
        </w:rPr>
        <w:t>和周期。</w:t>
      </w:r>
      <w:r>
        <w:rPr>
          <w:rFonts w:hint="default" w:ascii="Times New Roman" w:hAnsi="Times New Roman" w:eastAsia="仿宋_GB2312" w:cs="Times New Roman"/>
          <w:sz w:val="32"/>
          <w:szCs w:val="32"/>
          <w:lang w:eastAsia="zh-CN"/>
        </w:rPr>
        <w:t>对于合作稳定、供货持续、质量管理体系能够有效运行，所供中药材质量相对稳定的供应商，可以采取非现场审核方式，</w:t>
      </w:r>
      <w:r>
        <w:rPr>
          <w:rFonts w:hint="default" w:ascii="Times New Roman" w:hAnsi="Times New Roman" w:eastAsia="仿宋_GB2312" w:cs="Times New Roman"/>
          <w:sz w:val="32"/>
          <w:szCs w:val="32"/>
          <w:lang w:val="en-US" w:eastAsia="zh-CN"/>
        </w:rPr>
        <w:t>但是，3年内应当进行至少一次现场审核</w:t>
      </w:r>
      <w:r>
        <w:rPr>
          <w:rFonts w:hint="default" w:ascii="Times New Roman" w:hAnsi="Times New Roman" w:eastAsia="仿宋_GB2312" w:cs="Times New Roman"/>
          <w:sz w:val="32"/>
          <w:szCs w:val="32"/>
          <w:lang w:eastAsia="zh-CN"/>
        </w:rPr>
        <w:t>；否则，应当采取现场审核，属于有因审核情形的，应当启动有因审核。</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楷体" w:hAnsi="楷体" w:eastAsia="楷体" w:cs="楷体"/>
          <w:sz w:val="32"/>
          <w:szCs w:val="32"/>
        </w:rPr>
      </w:pPr>
      <w:r>
        <w:rPr>
          <w:rFonts w:hint="eastAsia" w:ascii="楷体" w:hAnsi="楷体" w:eastAsia="楷体" w:cs="楷体"/>
          <w:sz w:val="32"/>
          <w:szCs w:val="32"/>
          <w:lang w:val="en-US" w:eastAsia="zh-CN"/>
        </w:rPr>
        <w:t>（二）</w:t>
      </w:r>
      <w:r>
        <w:rPr>
          <w:rFonts w:hint="eastAsia" w:ascii="楷体" w:hAnsi="楷体" w:eastAsia="楷体" w:cs="楷体"/>
          <w:sz w:val="32"/>
          <w:szCs w:val="32"/>
        </w:rPr>
        <w:t>供应商档案管理</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企业</w:t>
      </w:r>
      <w:r>
        <w:rPr>
          <w:rFonts w:hint="default" w:ascii="Times New Roman" w:hAnsi="Times New Roman" w:eastAsia="仿宋_GB2312" w:cs="Times New Roman"/>
          <w:sz w:val="32"/>
          <w:szCs w:val="32"/>
        </w:rPr>
        <w:t>应当建立完整、可追溯的供应商档案，档案内容应当包括供应商资质证明文件、质量协议、审核方案、审核报告、整改报告、</w:t>
      </w:r>
      <w:r>
        <w:rPr>
          <w:rFonts w:hint="default" w:ascii="Times New Roman" w:hAnsi="Times New Roman" w:eastAsia="仿宋_GB2312" w:cs="Times New Roman"/>
          <w:sz w:val="32"/>
          <w:szCs w:val="32"/>
          <w:lang w:eastAsia="zh-CN"/>
        </w:rPr>
        <w:t>中药材药品</w:t>
      </w:r>
      <w:r>
        <w:rPr>
          <w:rFonts w:hint="default" w:ascii="Times New Roman" w:hAnsi="Times New Roman" w:eastAsia="仿宋_GB2312" w:cs="Times New Roman"/>
          <w:sz w:val="32"/>
          <w:szCs w:val="32"/>
        </w:rPr>
        <w:t>标准、检验报告、评价结果、资源供给与供应稳定性相关评估资料、定期的质量回顾分析报告等文件，必要时可</w:t>
      </w:r>
      <w:r>
        <w:rPr>
          <w:rFonts w:hint="default" w:ascii="Times New Roman" w:hAnsi="Times New Roman" w:eastAsia="仿宋_GB2312" w:cs="Times New Roman"/>
          <w:sz w:val="32"/>
          <w:szCs w:val="32"/>
          <w:lang w:eastAsia="zh-CN"/>
        </w:rPr>
        <w:t>以</w:t>
      </w:r>
      <w:r>
        <w:rPr>
          <w:rFonts w:hint="default" w:ascii="Times New Roman" w:hAnsi="Times New Roman" w:eastAsia="仿宋_GB2312" w:cs="Times New Roman"/>
          <w:sz w:val="32"/>
          <w:szCs w:val="32"/>
        </w:rPr>
        <w:t>附</w:t>
      </w:r>
      <w:r>
        <w:rPr>
          <w:rFonts w:hint="default" w:ascii="Times New Roman" w:hAnsi="Times New Roman" w:eastAsia="仿宋_GB2312" w:cs="Times New Roman"/>
          <w:sz w:val="32"/>
          <w:szCs w:val="32"/>
          <w:lang w:eastAsia="zh-CN"/>
        </w:rPr>
        <w:t>上</w:t>
      </w:r>
      <w:r>
        <w:rPr>
          <w:rFonts w:hint="default" w:ascii="Times New Roman" w:hAnsi="Times New Roman" w:eastAsia="仿宋_GB2312" w:cs="Times New Roman"/>
          <w:sz w:val="32"/>
          <w:szCs w:val="32"/>
        </w:rPr>
        <w:t>中药材供应商的标签样式</w:t>
      </w:r>
      <w:r>
        <w:rPr>
          <w:rFonts w:hint="default" w:ascii="Times New Roman" w:hAnsi="Times New Roman" w:eastAsia="仿宋_GB2312" w:cs="Times New Roman"/>
          <w:sz w:val="32"/>
          <w:szCs w:val="32"/>
          <w:lang w:eastAsia="zh-CN"/>
        </w:rPr>
        <w:t>。</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2.采购</w:t>
      </w:r>
      <w:r>
        <w:rPr>
          <w:rFonts w:hint="default" w:ascii="Times New Roman" w:hAnsi="Times New Roman" w:eastAsia="仿宋_GB2312" w:cs="Times New Roman"/>
          <w:sz w:val="32"/>
          <w:szCs w:val="32"/>
        </w:rPr>
        <w:t>进口中药材</w:t>
      </w:r>
      <w:r>
        <w:rPr>
          <w:rFonts w:hint="default" w:ascii="Times New Roman" w:hAnsi="Times New Roman" w:eastAsia="仿宋_GB2312" w:cs="Times New Roman"/>
          <w:sz w:val="32"/>
          <w:szCs w:val="32"/>
          <w:lang w:val="en-US" w:eastAsia="zh-CN"/>
        </w:rPr>
        <w:t>的</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还应当</w:t>
      </w:r>
      <w:r>
        <w:rPr>
          <w:rFonts w:hint="default" w:ascii="Times New Roman" w:hAnsi="Times New Roman" w:eastAsia="仿宋_GB2312" w:cs="Times New Roman"/>
          <w:sz w:val="32"/>
          <w:szCs w:val="32"/>
        </w:rPr>
        <w:t>将其产地证明文件、进口药材检验报告和进口药品通关单等资料纳入供应商档案。</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档案保存期限不得少于中药材使用后5年。</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楷体" w:hAnsi="楷体" w:eastAsia="楷体" w:cs="楷体"/>
          <w:sz w:val="32"/>
          <w:szCs w:val="32"/>
        </w:rPr>
      </w:pPr>
      <w:r>
        <w:rPr>
          <w:rFonts w:hint="eastAsia" w:ascii="楷体" w:hAnsi="楷体" w:eastAsia="楷体" w:cs="楷体"/>
          <w:sz w:val="32"/>
          <w:szCs w:val="32"/>
          <w:lang w:val="en-US" w:eastAsia="zh-CN"/>
        </w:rPr>
        <w:t>（三）</w:t>
      </w:r>
      <w:r>
        <w:rPr>
          <w:rFonts w:hint="eastAsia" w:ascii="楷体" w:hAnsi="楷体" w:eastAsia="楷体" w:cs="楷体"/>
          <w:sz w:val="32"/>
          <w:szCs w:val="32"/>
        </w:rPr>
        <w:t>供应商变更管理</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企业</w:t>
      </w:r>
      <w:r>
        <w:rPr>
          <w:rFonts w:hint="default" w:ascii="Times New Roman" w:hAnsi="Times New Roman" w:eastAsia="仿宋_GB2312" w:cs="Times New Roman"/>
          <w:sz w:val="32"/>
          <w:szCs w:val="32"/>
        </w:rPr>
        <w:t>变更</w:t>
      </w:r>
      <w:r>
        <w:rPr>
          <w:rFonts w:hint="default" w:ascii="Times New Roman" w:hAnsi="Times New Roman" w:eastAsia="仿宋_GB2312" w:cs="Times New Roman"/>
          <w:sz w:val="32"/>
          <w:szCs w:val="32"/>
          <w:lang w:val="en-US" w:eastAsia="zh-CN"/>
        </w:rPr>
        <w:t>供应商的，</w:t>
      </w:r>
      <w:r>
        <w:rPr>
          <w:rFonts w:hint="default" w:ascii="Times New Roman" w:hAnsi="Times New Roman" w:eastAsia="仿宋_GB2312" w:cs="Times New Roman"/>
          <w:sz w:val="32"/>
          <w:szCs w:val="32"/>
        </w:rPr>
        <w:t>应当遵循</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先评估、后变更、再使用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原则，包括供应商发起的变更和企业发起的变更：</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供应商发起质量相关变更的，应当提前书面告知企业；企业应当开展变更风险评估，重点关注基原、产地情况变更，同步评估对资源供给、供应稳定性的影响，综合评价变更对中药材质量影响程度及潜在风险并制定相应控制措施，根据评估结果开展针对性审核，必要时开展现场审核，合格后方可接受变更。</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企业发起新增、更换供应商等变更的，应当评估变更对产品质量、资源供给及供应稳定性的影响，确保</w:t>
      </w:r>
      <w:bookmarkStart w:id="6" w:name="OLE_LINK13"/>
      <w:r>
        <w:rPr>
          <w:rFonts w:hint="default" w:ascii="Times New Roman" w:hAnsi="Times New Roman" w:eastAsia="仿宋_GB2312" w:cs="Times New Roman"/>
          <w:sz w:val="32"/>
          <w:szCs w:val="32"/>
        </w:rPr>
        <w:t>变更前后</w:t>
      </w:r>
      <w:bookmarkEnd w:id="6"/>
      <w:r>
        <w:rPr>
          <w:rFonts w:hint="default" w:ascii="Times New Roman" w:hAnsi="Times New Roman" w:eastAsia="仿宋_GB2312" w:cs="Times New Roman"/>
          <w:sz w:val="32"/>
          <w:szCs w:val="32"/>
        </w:rPr>
        <w:t>供应商中药材的核心质量要素</w:t>
      </w:r>
      <w:r>
        <w:rPr>
          <w:rFonts w:hint="default" w:ascii="Times New Roman" w:hAnsi="Times New Roman" w:eastAsia="仿宋_GB2312" w:cs="Times New Roman"/>
          <w:sz w:val="32"/>
          <w:szCs w:val="32"/>
          <w:highlight w:val="none"/>
          <w:lang w:eastAsia="zh-CN"/>
        </w:rPr>
        <w:t>基本一致</w:t>
      </w:r>
      <w:r>
        <w:rPr>
          <w:rFonts w:hint="default" w:ascii="Times New Roman" w:hAnsi="Times New Roman" w:eastAsia="仿宋_GB2312" w:cs="Times New Roman"/>
          <w:sz w:val="32"/>
          <w:szCs w:val="32"/>
        </w:rPr>
        <w:t>，资源供给能力满足企业生产需求</w:t>
      </w:r>
      <w:r>
        <w:rPr>
          <w:rFonts w:hint="default" w:ascii="Times New Roman" w:hAnsi="Times New Roman" w:eastAsia="仿宋_GB2312" w:cs="Times New Roman"/>
          <w:sz w:val="32"/>
          <w:szCs w:val="32"/>
          <w:lang w:eastAsia="zh-CN"/>
        </w:rPr>
        <w:t>，并按照本指导原则的内容和程序，对拟新增、更换的供应商进行审核，</w:t>
      </w:r>
      <w:r>
        <w:rPr>
          <w:rFonts w:hint="default" w:ascii="Times New Roman" w:hAnsi="Times New Roman" w:eastAsia="仿宋_GB2312" w:cs="Times New Roman"/>
          <w:sz w:val="32"/>
          <w:szCs w:val="32"/>
        </w:rPr>
        <w:t>合格后方可纳入合格供应商名单。</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企业根据需要，可以对一种中药材的多个供应商进行先后审核，合格后纳入合格供应商名单。对该名单内的供应商进行变更的，企业应当评估变更影响，</w:t>
      </w:r>
      <w:r>
        <w:rPr>
          <w:rFonts w:hint="default" w:ascii="Times New Roman" w:hAnsi="Times New Roman" w:eastAsia="仿宋_GB2312" w:cs="Times New Roman"/>
          <w:sz w:val="32"/>
          <w:szCs w:val="32"/>
        </w:rPr>
        <w:t>确保变更前后的中药材</w:t>
      </w:r>
      <w:r>
        <w:rPr>
          <w:rFonts w:hint="default"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基原、产地、</w:t>
      </w:r>
      <w:r>
        <w:rPr>
          <w:rFonts w:hint="default" w:ascii="Times New Roman" w:hAnsi="Times New Roman" w:eastAsia="仿宋_GB2312" w:cs="Times New Roman"/>
          <w:sz w:val="32"/>
          <w:szCs w:val="32"/>
          <w:lang w:eastAsia="zh-CN"/>
        </w:rPr>
        <w:t>来源、</w:t>
      </w:r>
      <w:r>
        <w:rPr>
          <w:rFonts w:hint="default" w:ascii="Times New Roman" w:hAnsi="Times New Roman" w:eastAsia="仿宋_GB2312" w:cs="Times New Roman"/>
          <w:sz w:val="32"/>
          <w:szCs w:val="32"/>
        </w:rPr>
        <w:t>采收期</w:t>
      </w:r>
      <w:r>
        <w:rPr>
          <w:rFonts w:hint="default" w:ascii="Times New Roman" w:hAnsi="Times New Roman" w:eastAsia="仿宋_GB2312" w:cs="Times New Roman"/>
          <w:sz w:val="32"/>
          <w:szCs w:val="32"/>
          <w:lang w:eastAsia="zh-CN"/>
        </w:rPr>
        <w:t>和</w:t>
      </w:r>
      <w:r>
        <w:rPr>
          <w:rFonts w:hint="default" w:ascii="Times New Roman" w:hAnsi="Times New Roman" w:eastAsia="仿宋_GB2312" w:cs="Times New Roman"/>
          <w:sz w:val="32"/>
          <w:szCs w:val="32"/>
        </w:rPr>
        <w:t>加工</w:t>
      </w:r>
      <w:r>
        <w:rPr>
          <w:rFonts w:hint="default" w:ascii="Times New Roman" w:hAnsi="Times New Roman" w:eastAsia="仿宋_GB2312" w:cs="Times New Roman"/>
          <w:sz w:val="32"/>
          <w:szCs w:val="32"/>
          <w:lang w:eastAsia="zh-CN"/>
        </w:rPr>
        <w:t>、仓储、养护的方式和条件</w:t>
      </w:r>
      <w:r>
        <w:rPr>
          <w:rFonts w:hint="default" w:ascii="Times New Roman" w:hAnsi="Times New Roman" w:eastAsia="仿宋_GB2312" w:cs="Times New Roman"/>
          <w:sz w:val="32"/>
          <w:szCs w:val="32"/>
        </w:rPr>
        <w:t>等</w:t>
      </w:r>
      <w:r>
        <w:rPr>
          <w:rFonts w:hint="default" w:ascii="Times New Roman" w:hAnsi="Times New Roman" w:eastAsia="仿宋_GB2312" w:cs="Times New Roman"/>
          <w:sz w:val="32"/>
          <w:szCs w:val="32"/>
          <w:lang w:eastAsia="zh-CN"/>
        </w:rPr>
        <w:t>不会对中药质量产生负面影响，必要时进行质量对比研究、现场审核。</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供应商变更批准后，企业应当及时更新合格供应商名单及中药材供应商相关目录。</w:t>
      </w:r>
    </w:p>
    <w:p>
      <w:pPr>
        <w:keepNext w:val="0"/>
        <w:keepLines w:val="0"/>
        <w:pageBreakBefore w:val="0"/>
        <w:numPr>
          <w:ilvl w:val="-1"/>
          <w:numId w:val="0"/>
        </w:numPr>
        <w:kinsoku/>
        <w:wordWrap/>
        <w:overflowPunct/>
        <w:topLinePunct w:val="0"/>
        <w:autoSpaceDE/>
        <w:autoSpaceDN/>
        <w:bidi w:val="0"/>
        <w:adjustRightInd/>
        <w:snapToGrid/>
        <w:spacing w:line="600" w:lineRule="exact"/>
        <w:ind w:firstLine="0" w:firstLineChars="0"/>
        <w:jc w:val="both"/>
        <w:textAlignment w:val="auto"/>
        <w:rPr>
          <w:rFonts w:hint="eastAsia" w:ascii="楷体" w:hAnsi="楷体" w:eastAsia="楷体" w:cs="楷体"/>
          <w:sz w:val="32"/>
          <w:szCs w:val="32"/>
        </w:rPr>
      </w:pPr>
      <w:r>
        <w:rPr>
          <w:rFonts w:hint="eastAsia" w:ascii="楷体" w:hAnsi="楷体" w:eastAsia="楷体" w:cs="楷体"/>
          <w:sz w:val="32"/>
          <w:szCs w:val="32"/>
          <w:lang w:val="en-US" w:eastAsia="zh-CN"/>
        </w:rPr>
        <w:t xml:space="preserve">  （四）</w:t>
      </w:r>
      <w:r>
        <w:rPr>
          <w:rFonts w:hint="eastAsia" w:ascii="楷体" w:hAnsi="楷体" w:eastAsia="楷体" w:cs="楷体"/>
          <w:sz w:val="32"/>
          <w:szCs w:val="32"/>
        </w:rPr>
        <w:t>质量回顾与持续改进</w:t>
      </w:r>
    </w:p>
    <w:p>
      <w:pPr>
        <w:keepNext w:val="0"/>
        <w:keepLines w:val="0"/>
        <w:pageBreakBefore w:val="0"/>
        <w:numPr>
          <w:ilvl w:val="-1"/>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企业</w:t>
      </w:r>
      <w:r>
        <w:rPr>
          <w:rFonts w:hint="default" w:ascii="Times New Roman" w:hAnsi="Times New Roman" w:eastAsia="仿宋_GB2312" w:cs="Times New Roman"/>
          <w:sz w:val="32"/>
          <w:szCs w:val="32"/>
          <w:lang w:val="en-US" w:eastAsia="zh-CN"/>
        </w:rPr>
        <w:t>应当结合产品年度质量回顾分析结果定期</w:t>
      </w:r>
      <w:r>
        <w:rPr>
          <w:rFonts w:hint="default" w:ascii="Times New Roman" w:hAnsi="Times New Roman" w:eastAsia="仿宋_GB2312" w:cs="Times New Roman"/>
          <w:sz w:val="32"/>
          <w:szCs w:val="32"/>
        </w:rPr>
        <w:t>开展中药材供应商质量回顾分析，结合资源供给与供应稳定性评估情况，总结审核、评价、整改等工作情况，识别供应商管理中的问题与不足，制定针对性持续改进措施，逐步优化审核标准和管理策略；鼓励建立供应商管理持续改进的长效机制，推动供应链质量协同提升。</w:t>
      </w:r>
    </w:p>
    <w:p>
      <w:pPr>
        <w:keepNext w:val="0"/>
        <w:keepLines w:val="0"/>
        <w:pageBreakBefore w:val="0"/>
        <w:numPr>
          <w:ilvl w:val="-1"/>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发现的质量问题，企业应当及时启动纠正与预防措施，明确整改要求、时限和责任人，形成整改闭环管理。整改结果应当纳入供应商档案。</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（五）供应商退出机制</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企业应当结合供应商动态管理情况，建立退出机制。</w:t>
      </w:r>
      <w:r>
        <w:rPr>
          <w:rFonts w:hint="default" w:ascii="Times New Roman" w:hAnsi="Times New Roman" w:eastAsia="仿宋_GB2312" w:cs="Times New Roman"/>
          <w:sz w:val="32"/>
          <w:szCs w:val="32"/>
        </w:rPr>
        <w:t>供应商质量管理体系发生重大变更</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中药材出现质量</w:t>
      </w:r>
      <w:r>
        <w:rPr>
          <w:rFonts w:hint="default" w:ascii="Times New Roman" w:hAnsi="Times New Roman" w:eastAsia="仿宋_GB2312" w:cs="Times New Roman"/>
          <w:sz w:val="32"/>
          <w:szCs w:val="32"/>
          <w:lang w:val="en-US" w:eastAsia="zh-CN"/>
        </w:rPr>
        <w:t>问题或者</w:t>
      </w:r>
      <w:r>
        <w:rPr>
          <w:rFonts w:hint="default" w:ascii="Times New Roman" w:hAnsi="Times New Roman" w:eastAsia="仿宋_GB2312" w:cs="Times New Roman"/>
          <w:sz w:val="32"/>
          <w:szCs w:val="32"/>
        </w:rPr>
        <w:t>资源供给、供应稳定性存在重大隐患</w:t>
      </w:r>
      <w:r>
        <w:rPr>
          <w:rFonts w:hint="default" w:ascii="Times New Roman" w:hAnsi="Times New Roman" w:eastAsia="仿宋_GB2312" w:cs="Times New Roman"/>
          <w:sz w:val="32"/>
          <w:szCs w:val="32"/>
          <w:lang w:val="en-US" w:eastAsia="zh-CN"/>
        </w:rPr>
        <w:t>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企业应</w:t>
      </w:r>
      <w:r>
        <w:rPr>
          <w:rFonts w:hint="default" w:ascii="Times New Roman" w:hAnsi="Times New Roman" w:eastAsia="仿宋_GB2312" w:cs="Times New Roman"/>
          <w:sz w:val="32"/>
          <w:szCs w:val="32"/>
          <w:lang w:eastAsia="zh-CN"/>
        </w:rPr>
        <w:t>当</w:t>
      </w:r>
      <w:r>
        <w:rPr>
          <w:rFonts w:hint="default" w:ascii="Times New Roman" w:hAnsi="Times New Roman" w:eastAsia="仿宋_GB2312" w:cs="Times New Roman"/>
          <w:sz w:val="32"/>
          <w:szCs w:val="32"/>
        </w:rPr>
        <w:t>及时对供应商</w:t>
      </w:r>
      <w:r>
        <w:rPr>
          <w:rFonts w:hint="default" w:ascii="Times New Roman" w:hAnsi="Times New Roman" w:eastAsia="仿宋_GB2312" w:cs="Times New Roman"/>
          <w:sz w:val="32"/>
          <w:szCs w:val="32"/>
          <w:lang w:eastAsia="zh-CN"/>
        </w:rPr>
        <w:t>类型</w:t>
      </w:r>
      <w:r>
        <w:rPr>
          <w:rFonts w:hint="default" w:ascii="Times New Roman" w:hAnsi="Times New Roman" w:eastAsia="仿宋_GB2312" w:cs="Times New Roman"/>
          <w:sz w:val="32"/>
          <w:szCs w:val="32"/>
        </w:rPr>
        <w:t>重新</w:t>
      </w:r>
      <w:r>
        <w:rPr>
          <w:rFonts w:hint="default" w:ascii="Times New Roman" w:hAnsi="Times New Roman" w:eastAsia="仿宋_GB2312" w:cs="Times New Roman"/>
          <w:sz w:val="32"/>
          <w:szCs w:val="32"/>
          <w:lang w:eastAsia="zh-CN"/>
        </w:rPr>
        <w:t>审核</w:t>
      </w:r>
      <w:r>
        <w:rPr>
          <w:rFonts w:hint="default" w:ascii="Times New Roman" w:hAnsi="Times New Roman" w:eastAsia="仿宋_GB2312" w:cs="Times New Roman"/>
          <w:sz w:val="32"/>
          <w:szCs w:val="32"/>
        </w:rPr>
        <w:t>划分，对不能保证供货质量持续稳定的供应商，</w:t>
      </w:r>
      <w:r>
        <w:rPr>
          <w:rFonts w:hint="default" w:ascii="Times New Roman" w:hAnsi="Times New Roman" w:eastAsia="仿宋_GB2312" w:cs="Times New Roman"/>
          <w:sz w:val="32"/>
          <w:szCs w:val="32"/>
          <w:lang w:eastAsia="zh-CN"/>
        </w:rPr>
        <w:t>应当及时终止合作、停止采购，并</w:t>
      </w:r>
      <w:r>
        <w:rPr>
          <w:rFonts w:hint="default" w:ascii="Times New Roman" w:hAnsi="Times New Roman" w:eastAsia="仿宋_GB2312" w:cs="Times New Roman"/>
          <w:sz w:val="32"/>
          <w:szCs w:val="32"/>
        </w:rPr>
        <w:t>取消</w:t>
      </w:r>
      <w:r>
        <w:rPr>
          <w:rFonts w:hint="default" w:ascii="Times New Roman" w:hAnsi="Times New Roman" w:eastAsia="仿宋_GB2312" w:cs="Times New Roman"/>
          <w:sz w:val="32"/>
          <w:szCs w:val="32"/>
          <w:lang w:eastAsia="zh-CN"/>
        </w:rPr>
        <w:t>其</w:t>
      </w:r>
      <w:r>
        <w:rPr>
          <w:rFonts w:hint="default" w:ascii="Times New Roman" w:hAnsi="Times New Roman" w:eastAsia="仿宋_GB2312" w:cs="Times New Roman"/>
          <w:sz w:val="32"/>
          <w:szCs w:val="32"/>
        </w:rPr>
        <w:t>供应商资格。</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color w:val="1F2329"/>
          <w:sz w:val="32"/>
          <w:szCs w:val="32"/>
        </w:rPr>
      </w:pPr>
      <w:r>
        <w:rPr>
          <w:rFonts w:hint="default" w:ascii="Times New Roman" w:hAnsi="Times New Roman" w:eastAsia="仿宋_GB2312" w:cs="Times New Roman"/>
          <w:b w:val="0"/>
          <w:bCs w:val="0"/>
          <w:color w:val="1F2329"/>
          <w:sz w:val="32"/>
          <w:szCs w:val="32"/>
        </w:rPr>
        <w:t>附</w:t>
      </w:r>
    </w:p>
    <w:p>
      <w:pPr>
        <w:keepNext w:val="0"/>
        <w:keepLines w:val="0"/>
        <w:pageBreakBefore w:val="0"/>
        <w:widowControl/>
        <w:kinsoku/>
        <w:wordWrap/>
        <w:overflowPunct/>
        <w:topLinePunct w:val="0"/>
        <w:autoSpaceDE/>
        <w:autoSpaceDN/>
        <w:bidi w:val="0"/>
        <w:adjustRightInd/>
        <w:snapToGrid/>
        <w:spacing w:line="600" w:lineRule="exact"/>
        <w:ind w:left="-360" w:firstLine="960" w:firstLineChars="300"/>
        <w:jc w:val="both"/>
        <w:textAlignment w:val="auto"/>
        <w:rPr>
          <w:rFonts w:hint="default" w:ascii="Times New Roman" w:hAnsi="Times New Roman" w:eastAsia="仿宋_GB2312" w:cs="Times New Roman"/>
          <w:color w:val="1F2329"/>
          <w:sz w:val="32"/>
          <w:szCs w:val="32"/>
        </w:rPr>
      </w:pPr>
      <w:r>
        <w:rPr>
          <w:rFonts w:hint="default" w:ascii="Times New Roman" w:hAnsi="Times New Roman" w:eastAsia="仿宋_GB2312" w:cs="Times New Roman"/>
          <w:color w:val="1F2329"/>
          <w:sz w:val="32"/>
          <w:szCs w:val="32"/>
        </w:rPr>
        <w:t>1.中药材供应商审核</w:t>
      </w:r>
      <w:r>
        <w:rPr>
          <w:rFonts w:hint="eastAsia" w:ascii="Times New Roman" w:hAnsi="Times New Roman" w:eastAsia="仿宋_GB2312" w:cs="Times New Roman"/>
          <w:color w:val="1F2329"/>
          <w:sz w:val="32"/>
          <w:szCs w:val="32"/>
          <w:lang w:val="en-US" w:eastAsia="zh-CN"/>
        </w:rPr>
        <w:t>要求</w:t>
      </w:r>
      <w:r>
        <w:rPr>
          <w:rFonts w:hint="default" w:ascii="Times New Roman" w:hAnsi="Times New Roman" w:eastAsia="仿宋_GB2312" w:cs="Times New Roman"/>
          <w:color w:val="1F2329"/>
          <w:sz w:val="32"/>
          <w:szCs w:val="32"/>
        </w:rPr>
        <w:t>清单</w:t>
      </w:r>
    </w:p>
    <w:p>
      <w:pPr>
        <w:keepNext w:val="0"/>
        <w:keepLines w:val="0"/>
        <w:pageBreakBefore w:val="0"/>
        <w:widowControl/>
        <w:kinsoku/>
        <w:wordWrap/>
        <w:overflowPunct/>
        <w:topLinePunct w:val="0"/>
        <w:autoSpaceDE/>
        <w:autoSpaceDN/>
        <w:bidi w:val="0"/>
        <w:adjustRightInd/>
        <w:snapToGrid/>
        <w:spacing w:line="600" w:lineRule="exact"/>
        <w:ind w:left="-360" w:firstLine="960" w:firstLineChars="300"/>
        <w:jc w:val="both"/>
        <w:textAlignment w:val="auto"/>
        <w:rPr>
          <w:rFonts w:hint="default" w:ascii="Times New Roman" w:hAnsi="Times New Roman" w:eastAsia="仿宋_GB2312" w:cs="Times New Roman"/>
          <w:color w:val="1F2329"/>
          <w:sz w:val="32"/>
          <w:szCs w:val="32"/>
        </w:rPr>
      </w:pPr>
      <w:r>
        <w:rPr>
          <w:rFonts w:hint="default" w:ascii="Times New Roman" w:hAnsi="Times New Roman" w:eastAsia="仿宋_GB2312" w:cs="Times New Roman"/>
          <w:color w:val="1F2329"/>
          <w:sz w:val="32"/>
          <w:szCs w:val="32"/>
        </w:rPr>
        <w:t>2.中药材供应商审核记录表</w:t>
      </w:r>
      <w:r>
        <w:rPr>
          <w:rFonts w:hint="default" w:ascii="Times New Roman" w:hAnsi="Times New Roman" w:eastAsia="仿宋_GB2312" w:cs="Times New Roman"/>
          <w:bCs w:val="0"/>
          <w:color w:val="1F2329"/>
          <w:sz w:val="32"/>
          <w:szCs w:val="32"/>
        </w:rPr>
        <w:t>（适用于中药材生产企业）</w:t>
      </w:r>
    </w:p>
    <w:p>
      <w:pPr>
        <w:keepNext w:val="0"/>
        <w:keepLines w:val="0"/>
        <w:pageBreakBefore w:val="0"/>
        <w:widowControl/>
        <w:kinsoku/>
        <w:wordWrap/>
        <w:overflowPunct/>
        <w:topLinePunct w:val="0"/>
        <w:autoSpaceDE/>
        <w:autoSpaceDN/>
        <w:bidi w:val="0"/>
        <w:adjustRightInd/>
        <w:snapToGrid/>
        <w:spacing w:line="600" w:lineRule="exact"/>
        <w:ind w:left="-360" w:firstLine="960" w:firstLineChars="300"/>
        <w:jc w:val="both"/>
        <w:textAlignment w:val="auto"/>
        <w:rPr>
          <w:rFonts w:hint="default" w:ascii="Times New Roman" w:hAnsi="Times New Roman" w:eastAsia="仿宋_GB2312" w:cs="Times New Roman"/>
          <w:color w:val="1F2329"/>
          <w:sz w:val="32"/>
          <w:szCs w:val="32"/>
        </w:rPr>
      </w:pPr>
      <w:r>
        <w:rPr>
          <w:rFonts w:hint="default" w:ascii="Times New Roman" w:hAnsi="Times New Roman" w:eastAsia="仿宋_GB2312" w:cs="Times New Roman"/>
          <w:color w:val="1F2329"/>
          <w:sz w:val="32"/>
          <w:szCs w:val="32"/>
        </w:rPr>
        <w:t>3.中药材供应商审核记录表（适用于中药材经营企业）</w:t>
      </w:r>
    </w:p>
    <w:p>
      <w:pPr>
        <w:keepNext w:val="0"/>
        <w:keepLines w:val="0"/>
        <w:pageBreakBefore w:val="0"/>
        <w:widowControl/>
        <w:kinsoku/>
        <w:wordWrap/>
        <w:overflowPunct/>
        <w:topLinePunct w:val="0"/>
        <w:autoSpaceDE/>
        <w:autoSpaceDN/>
        <w:bidi w:val="0"/>
        <w:adjustRightInd/>
        <w:snapToGrid/>
        <w:spacing w:line="600" w:lineRule="exact"/>
        <w:ind w:left="-360" w:firstLine="960" w:firstLineChars="300"/>
        <w:jc w:val="left"/>
        <w:textAlignment w:val="auto"/>
        <w:rPr>
          <w:rFonts w:hint="default" w:ascii="Times New Roman" w:hAnsi="Times New Roman" w:eastAsia="仿宋" w:cs="Times New Roman"/>
          <w:color w:val="1F2329"/>
          <w:sz w:val="32"/>
          <w:szCs w:val="32"/>
        </w:rPr>
        <w:sectPr>
          <w:footerReference r:id="rId3" w:type="default"/>
          <w:pgSz w:w="11906" w:h="16838"/>
          <w:pgMar w:top="1984" w:right="1531" w:bottom="1984" w:left="1531" w:header="851" w:footer="992" w:gutter="0"/>
          <w:pgNumType w:fmt="decimal"/>
          <w:cols w:space="425" w:num="1"/>
          <w:docGrid w:type="lines" w:linePitch="312" w:charSpace="0"/>
        </w:sectPr>
      </w:pPr>
    </w:p>
    <w:p>
      <w:pPr>
        <w:jc w:val="both"/>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附1</w:t>
      </w:r>
    </w:p>
    <w:p>
      <w:pPr>
        <w:jc w:val="center"/>
        <w:rPr>
          <w:rFonts w:hint="default" w:ascii="Times New Roman" w:hAnsi="Times New Roman" w:eastAsia="方正小标宋简体" w:cs="Times New Roman"/>
          <w:sz w:val="36"/>
          <w:szCs w:val="36"/>
        </w:rPr>
      </w:pPr>
      <w:r>
        <w:rPr>
          <w:rFonts w:hint="default" w:ascii="Times New Roman" w:hAnsi="Times New Roman" w:eastAsia="方正小标宋简体" w:cs="Times New Roman"/>
          <w:sz w:val="44"/>
          <w:szCs w:val="44"/>
        </w:rPr>
        <w:t>中药材供应商审核要求清单</w:t>
      </w:r>
    </w:p>
    <w:tbl>
      <w:tblPr>
        <w:tblStyle w:val="10"/>
        <w:tblW w:w="8432" w:type="dxa"/>
        <w:jc w:val="center"/>
        <w:tblLayout w:type="fixed"/>
        <w:tblCellMar>
          <w:top w:w="32" w:type="dxa"/>
          <w:left w:w="64" w:type="dxa"/>
          <w:bottom w:w="32" w:type="dxa"/>
          <w:right w:w="64" w:type="dxa"/>
        </w:tblCellMar>
      </w:tblPr>
      <w:tblGrid>
        <w:gridCol w:w="1690"/>
        <w:gridCol w:w="1571"/>
        <w:gridCol w:w="5171"/>
      </w:tblGrid>
      <w:tr>
        <w:tblPrEx>
          <w:tblCellMar>
            <w:top w:w="32" w:type="dxa"/>
            <w:left w:w="64" w:type="dxa"/>
            <w:bottom w:w="32" w:type="dxa"/>
            <w:right w:w="64" w:type="dxa"/>
          </w:tblCellMar>
        </w:tblPrEx>
        <w:trPr>
          <w:trHeight w:val="207" w:hRule="atLeast"/>
          <w:tblHeader/>
          <w:jc w:val="center"/>
        </w:trPr>
        <w:tc>
          <w:tcPr>
            <w:tcW w:w="1690"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snapToGrid w:val="0"/>
              <w:jc w:val="center"/>
              <w:textAlignment w:val="center"/>
              <w:rPr>
                <w:rFonts w:hint="default" w:ascii="Times New Roman" w:hAnsi="Times New Roman" w:eastAsia="仿宋_GB2312" w:cs="Times New Roman"/>
                <w:b/>
                <w:bCs/>
                <w:color w:val="000000"/>
                <w:sz w:val="28"/>
                <w:szCs w:val="28"/>
              </w:rPr>
            </w:pPr>
            <w:r>
              <w:rPr>
                <w:rFonts w:hint="default" w:ascii="Times New Roman" w:hAnsi="Times New Roman" w:eastAsia="仿宋_GB2312" w:cs="Times New Roman"/>
                <w:b/>
                <w:bCs/>
                <w:color w:val="000000"/>
                <w:kern w:val="0"/>
                <w:sz w:val="28"/>
                <w:szCs w:val="28"/>
                <w:lang w:bidi="ar"/>
              </w:rPr>
              <w:t>供应商类型</w:t>
            </w:r>
          </w:p>
        </w:tc>
        <w:tc>
          <w:tcPr>
            <w:tcW w:w="1571"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snapToGrid w:val="0"/>
              <w:jc w:val="center"/>
              <w:textAlignment w:val="center"/>
              <w:rPr>
                <w:rFonts w:hint="default" w:ascii="Times New Roman" w:hAnsi="Times New Roman" w:eastAsia="仿宋_GB2312" w:cs="Times New Roman"/>
                <w:b/>
                <w:bCs/>
                <w:color w:val="000000"/>
                <w:sz w:val="28"/>
                <w:szCs w:val="28"/>
              </w:rPr>
            </w:pPr>
            <w:r>
              <w:rPr>
                <w:rFonts w:hint="default" w:ascii="Times New Roman" w:hAnsi="Times New Roman" w:eastAsia="仿宋_GB2312" w:cs="Times New Roman"/>
                <w:b/>
                <w:bCs/>
                <w:color w:val="000000"/>
                <w:kern w:val="0"/>
                <w:sz w:val="28"/>
                <w:szCs w:val="28"/>
                <w:lang w:bidi="ar"/>
              </w:rPr>
              <w:t>审核项</w:t>
            </w:r>
          </w:p>
        </w:tc>
        <w:tc>
          <w:tcPr>
            <w:tcW w:w="5171"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snapToGrid w:val="0"/>
              <w:jc w:val="center"/>
              <w:textAlignment w:val="center"/>
              <w:rPr>
                <w:rFonts w:hint="default" w:ascii="Times New Roman" w:hAnsi="Times New Roman" w:eastAsia="仿宋_GB2312" w:cs="Times New Roman"/>
                <w:b/>
                <w:bCs/>
                <w:color w:val="000000"/>
                <w:kern w:val="0"/>
                <w:sz w:val="28"/>
                <w:szCs w:val="28"/>
                <w:lang w:bidi="ar"/>
              </w:rPr>
            </w:pPr>
            <w:r>
              <w:rPr>
                <w:rFonts w:hint="default" w:ascii="Times New Roman" w:hAnsi="Times New Roman" w:eastAsia="仿宋_GB2312" w:cs="Times New Roman"/>
                <w:b/>
                <w:bCs/>
                <w:color w:val="000000"/>
                <w:kern w:val="0"/>
                <w:sz w:val="28"/>
                <w:szCs w:val="28"/>
                <w:lang w:bidi="ar"/>
              </w:rPr>
              <w:t>审核方法</w:t>
            </w:r>
          </w:p>
        </w:tc>
      </w:tr>
      <w:tr>
        <w:tblPrEx>
          <w:tblCellMar>
            <w:top w:w="32" w:type="dxa"/>
            <w:left w:w="64" w:type="dxa"/>
            <w:bottom w:w="32" w:type="dxa"/>
            <w:right w:w="64" w:type="dxa"/>
          </w:tblCellMar>
        </w:tblPrEx>
        <w:trPr>
          <w:trHeight w:val="680" w:hRule="atLeast"/>
          <w:jc w:val="center"/>
        </w:trPr>
        <w:tc>
          <w:tcPr>
            <w:tcW w:w="169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中药材</w:t>
            </w:r>
          </w:p>
          <w:p>
            <w:pPr>
              <w:snapToGrid w:val="0"/>
              <w:jc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生产企业</w:t>
            </w:r>
          </w:p>
        </w:tc>
        <w:tc>
          <w:tcPr>
            <w:tcW w:w="1571"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种植佐证材料</w:t>
            </w:r>
          </w:p>
        </w:tc>
        <w:tc>
          <w:tcPr>
            <w:tcW w:w="51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left"/>
              <w:textAlignment w:val="center"/>
              <w:rPr>
                <w:rFonts w:hint="default" w:ascii="Times New Roman" w:hAnsi="Times New Roman" w:eastAsia="仿宋_GB2312" w:cs="Times New Roman"/>
                <w:sz w:val="24"/>
              </w:rPr>
            </w:pPr>
            <w:r>
              <w:rPr>
                <w:rFonts w:hint="default" w:ascii="Times New Roman" w:hAnsi="Times New Roman" w:eastAsia="仿宋_GB2312" w:cs="Times New Roman"/>
                <w:color w:val="000000"/>
                <w:kern w:val="0"/>
                <w:sz w:val="24"/>
                <w:lang w:bidi="ar"/>
              </w:rPr>
              <w:t>查看</w:t>
            </w:r>
            <w:r>
              <w:rPr>
                <w:rFonts w:hint="default" w:ascii="Times New Roman" w:hAnsi="Times New Roman" w:eastAsia="仿宋_GB2312" w:cs="Times New Roman"/>
                <w:sz w:val="24"/>
              </w:rPr>
              <w:t>种植/养殖面积及产量佐证材料。</w:t>
            </w:r>
          </w:p>
        </w:tc>
      </w:tr>
      <w:tr>
        <w:tblPrEx>
          <w:tblCellMar>
            <w:top w:w="32" w:type="dxa"/>
            <w:left w:w="64" w:type="dxa"/>
            <w:bottom w:w="32" w:type="dxa"/>
            <w:right w:w="64" w:type="dxa"/>
          </w:tblCellMar>
        </w:tblPrEx>
        <w:trPr>
          <w:trHeight w:val="680" w:hRule="atLeast"/>
          <w:jc w:val="center"/>
        </w:trPr>
        <w:tc>
          <w:tcPr>
            <w:tcW w:w="16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default" w:ascii="Times New Roman" w:hAnsi="Times New Roman" w:eastAsia="仿宋_GB2312" w:cs="Times New Roman"/>
                <w:color w:val="000000"/>
                <w:kern w:val="0"/>
                <w:sz w:val="24"/>
                <w:lang w:bidi="ar"/>
              </w:rPr>
            </w:pPr>
          </w:p>
        </w:tc>
        <w:tc>
          <w:tcPr>
            <w:tcW w:w="1571"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资质证明</w:t>
            </w:r>
          </w:p>
        </w:tc>
        <w:tc>
          <w:tcPr>
            <w:tcW w:w="51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left"/>
              <w:textAlignment w:val="center"/>
              <w:rPr>
                <w:rFonts w:hint="default" w:ascii="Times New Roman" w:hAnsi="Times New Roman" w:eastAsia="仿宋_GB2312" w:cs="Times New Roman"/>
                <w:sz w:val="24"/>
              </w:rPr>
            </w:pPr>
            <w:r>
              <w:rPr>
                <w:rFonts w:hint="default" w:ascii="Times New Roman" w:hAnsi="Times New Roman" w:eastAsia="仿宋_GB2312" w:cs="Times New Roman"/>
                <w:color w:val="000000"/>
                <w:kern w:val="0"/>
                <w:sz w:val="24"/>
                <w:lang w:bidi="ar"/>
              </w:rPr>
              <w:t>查看营业执照。</w:t>
            </w:r>
          </w:p>
        </w:tc>
      </w:tr>
      <w:tr>
        <w:tblPrEx>
          <w:tblCellMar>
            <w:top w:w="32" w:type="dxa"/>
            <w:left w:w="64" w:type="dxa"/>
            <w:bottom w:w="32" w:type="dxa"/>
            <w:right w:w="64" w:type="dxa"/>
          </w:tblCellMar>
        </w:tblPrEx>
        <w:trPr>
          <w:trHeight w:val="680" w:hRule="atLeast"/>
          <w:jc w:val="center"/>
        </w:trPr>
        <w:tc>
          <w:tcPr>
            <w:tcW w:w="16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default" w:ascii="Times New Roman" w:hAnsi="Times New Roman" w:eastAsia="仿宋_GB2312" w:cs="Times New Roman"/>
                <w:color w:val="000000"/>
                <w:kern w:val="0"/>
                <w:sz w:val="24"/>
                <w:lang w:bidi="ar"/>
              </w:rPr>
            </w:pPr>
          </w:p>
        </w:tc>
        <w:tc>
          <w:tcPr>
            <w:tcW w:w="1571"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质量保证</w:t>
            </w:r>
          </w:p>
        </w:tc>
        <w:tc>
          <w:tcPr>
            <w:tcW w:w="51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left"/>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1.查看关键人员</w:t>
            </w:r>
            <w:r>
              <w:rPr>
                <w:rFonts w:hint="eastAsia" w:ascii="Times New Roman" w:hAnsi="Times New Roman" w:eastAsia="仿宋_GB2312" w:cs="Times New Roman"/>
                <w:color w:val="000000"/>
                <w:kern w:val="0"/>
                <w:sz w:val="24"/>
                <w:lang w:eastAsia="zh-CN" w:bidi="ar"/>
              </w:rPr>
              <w:t>相关</w:t>
            </w:r>
            <w:r>
              <w:rPr>
                <w:rFonts w:hint="default" w:ascii="Times New Roman" w:hAnsi="Times New Roman" w:eastAsia="仿宋_GB2312" w:cs="Times New Roman"/>
                <w:color w:val="000000"/>
                <w:kern w:val="0"/>
                <w:sz w:val="24"/>
                <w:lang w:bidi="ar"/>
              </w:rPr>
              <w:t>证明材料；</w:t>
            </w:r>
          </w:p>
          <w:p>
            <w:pPr>
              <w:widowControl/>
              <w:snapToGrid w:val="0"/>
              <w:jc w:val="left"/>
              <w:textAlignment w:val="center"/>
              <w:rPr>
                <w:rFonts w:hint="default" w:ascii="Times New Roman" w:hAnsi="Times New Roman" w:eastAsia="仿宋_GB2312" w:cs="Times New Roman"/>
                <w:sz w:val="24"/>
              </w:rPr>
            </w:pPr>
            <w:r>
              <w:rPr>
                <w:rFonts w:hint="default" w:ascii="Times New Roman" w:hAnsi="Times New Roman" w:eastAsia="仿宋_GB2312" w:cs="Times New Roman"/>
                <w:color w:val="000000"/>
                <w:kern w:val="0"/>
                <w:sz w:val="24"/>
                <w:lang w:bidi="ar"/>
              </w:rPr>
              <w:t>2.查看组织架构、管理制度等。</w:t>
            </w:r>
          </w:p>
        </w:tc>
      </w:tr>
      <w:tr>
        <w:tblPrEx>
          <w:tblCellMar>
            <w:top w:w="32" w:type="dxa"/>
            <w:left w:w="64" w:type="dxa"/>
            <w:bottom w:w="32" w:type="dxa"/>
            <w:right w:w="64" w:type="dxa"/>
          </w:tblCellMar>
        </w:tblPrEx>
        <w:trPr>
          <w:trHeight w:val="680" w:hRule="atLeast"/>
          <w:jc w:val="center"/>
        </w:trPr>
        <w:tc>
          <w:tcPr>
            <w:tcW w:w="16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default" w:ascii="Times New Roman" w:hAnsi="Times New Roman" w:eastAsia="仿宋_GB2312" w:cs="Times New Roman"/>
                <w:color w:val="000000"/>
                <w:kern w:val="0"/>
                <w:sz w:val="24"/>
                <w:lang w:bidi="ar"/>
              </w:rPr>
            </w:pPr>
          </w:p>
        </w:tc>
        <w:tc>
          <w:tcPr>
            <w:tcW w:w="1571"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中药材质量</w:t>
            </w:r>
          </w:p>
        </w:tc>
        <w:tc>
          <w:tcPr>
            <w:tcW w:w="51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left"/>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1.查看中药材基原、质量检验结果；</w:t>
            </w:r>
          </w:p>
          <w:p>
            <w:pPr>
              <w:widowControl/>
              <w:snapToGrid w:val="0"/>
              <w:jc w:val="left"/>
              <w:textAlignment w:val="center"/>
              <w:rPr>
                <w:rFonts w:hint="default" w:ascii="Times New Roman" w:hAnsi="Times New Roman" w:eastAsia="仿宋_GB2312" w:cs="Times New Roman"/>
                <w:sz w:val="24"/>
              </w:rPr>
            </w:pPr>
            <w:r>
              <w:rPr>
                <w:rFonts w:hint="default" w:ascii="Times New Roman" w:hAnsi="Times New Roman" w:eastAsia="仿宋_GB2312" w:cs="Times New Roman"/>
                <w:color w:val="000000"/>
                <w:kern w:val="0"/>
                <w:sz w:val="24"/>
                <w:lang w:bidi="ar"/>
              </w:rPr>
              <w:t>2.采购方质量协议和采购合同明确质量要求。</w:t>
            </w:r>
          </w:p>
        </w:tc>
      </w:tr>
      <w:tr>
        <w:tblPrEx>
          <w:tblCellMar>
            <w:top w:w="32" w:type="dxa"/>
            <w:left w:w="64" w:type="dxa"/>
            <w:bottom w:w="32" w:type="dxa"/>
            <w:right w:w="64" w:type="dxa"/>
          </w:tblCellMar>
        </w:tblPrEx>
        <w:trPr>
          <w:trHeight w:val="680" w:hRule="atLeast"/>
          <w:jc w:val="center"/>
        </w:trPr>
        <w:tc>
          <w:tcPr>
            <w:tcW w:w="16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default" w:ascii="Times New Roman" w:hAnsi="Times New Roman" w:eastAsia="仿宋_GB2312" w:cs="Times New Roman"/>
                <w:color w:val="000000"/>
                <w:kern w:val="0"/>
                <w:sz w:val="24"/>
                <w:lang w:bidi="ar"/>
              </w:rPr>
            </w:pPr>
          </w:p>
        </w:tc>
        <w:tc>
          <w:tcPr>
            <w:tcW w:w="1571"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制度管理</w:t>
            </w:r>
          </w:p>
        </w:tc>
        <w:tc>
          <w:tcPr>
            <w:tcW w:w="51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left"/>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查看中药材生产质量管理相关制度。</w:t>
            </w:r>
          </w:p>
        </w:tc>
      </w:tr>
      <w:tr>
        <w:tblPrEx>
          <w:tblCellMar>
            <w:top w:w="32" w:type="dxa"/>
            <w:left w:w="64" w:type="dxa"/>
            <w:bottom w:w="32" w:type="dxa"/>
            <w:right w:w="64" w:type="dxa"/>
          </w:tblCellMar>
        </w:tblPrEx>
        <w:trPr>
          <w:trHeight w:val="680" w:hRule="atLeast"/>
          <w:jc w:val="center"/>
        </w:trPr>
        <w:tc>
          <w:tcPr>
            <w:tcW w:w="16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default" w:ascii="Times New Roman" w:hAnsi="Times New Roman" w:eastAsia="仿宋_GB2312" w:cs="Times New Roman"/>
                <w:color w:val="000000"/>
                <w:kern w:val="0"/>
                <w:sz w:val="24"/>
                <w:lang w:bidi="ar"/>
              </w:rPr>
            </w:pPr>
          </w:p>
        </w:tc>
        <w:tc>
          <w:tcPr>
            <w:tcW w:w="1571"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种植/养殖管理</w:t>
            </w:r>
          </w:p>
        </w:tc>
        <w:tc>
          <w:tcPr>
            <w:tcW w:w="51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left"/>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1.种植现场审核；</w:t>
            </w:r>
          </w:p>
          <w:p>
            <w:pPr>
              <w:widowControl/>
              <w:snapToGrid w:val="0"/>
              <w:jc w:val="left"/>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2.查看种植/养殖管理制度；</w:t>
            </w:r>
          </w:p>
          <w:p>
            <w:pPr>
              <w:widowControl/>
              <w:snapToGrid w:val="0"/>
              <w:jc w:val="left"/>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3.查看种植/养殖记录;</w:t>
            </w:r>
          </w:p>
          <w:p>
            <w:pPr>
              <w:widowControl/>
              <w:snapToGrid w:val="0"/>
              <w:jc w:val="left"/>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4.农药、化肥的管理;</w:t>
            </w:r>
          </w:p>
          <w:p>
            <w:pPr>
              <w:widowControl/>
              <w:snapToGrid w:val="0"/>
              <w:jc w:val="left"/>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5.饲料、兽药的管理;</w:t>
            </w:r>
          </w:p>
          <w:p>
            <w:pPr>
              <w:widowControl/>
              <w:snapToGrid w:val="0"/>
              <w:jc w:val="left"/>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6.投入品现场审核；</w:t>
            </w:r>
          </w:p>
          <w:p>
            <w:pPr>
              <w:widowControl/>
              <w:snapToGrid w:val="0"/>
              <w:jc w:val="left"/>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7.查看投入品管理制度；</w:t>
            </w:r>
          </w:p>
          <w:p>
            <w:pPr>
              <w:widowControl/>
              <w:snapToGrid w:val="0"/>
              <w:jc w:val="left"/>
              <w:textAlignment w:val="center"/>
              <w:rPr>
                <w:rFonts w:hint="default" w:ascii="Times New Roman" w:hAnsi="Times New Roman" w:eastAsia="仿宋_GB2312" w:cs="Times New Roman"/>
                <w:sz w:val="24"/>
              </w:rPr>
            </w:pPr>
            <w:r>
              <w:rPr>
                <w:rFonts w:hint="default" w:ascii="Times New Roman" w:hAnsi="Times New Roman" w:eastAsia="仿宋_GB2312" w:cs="Times New Roman"/>
                <w:color w:val="000000"/>
                <w:kern w:val="0"/>
                <w:sz w:val="24"/>
                <w:lang w:bidi="ar"/>
              </w:rPr>
              <w:t>8.查看投入品使用记录。</w:t>
            </w:r>
          </w:p>
        </w:tc>
      </w:tr>
      <w:tr>
        <w:tblPrEx>
          <w:tblCellMar>
            <w:top w:w="32" w:type="dxa"/>
            <w:left w:w="64" w:type="dxa"/>
            <w:bottom w:w="32" w:type="dxa"/>
            <w:right w:w="64" w:type="dxa"/>
          </w:tblCellMar>
        </w:tblPrEx>
        <w:trPr>
          <w:trHeight w:val="680" w:hRule="atLeast"/>
          <w:jc w:val="center"/>
        </w:trPr>
        <w:tc>
          <w:tcPr>
            <w:tcW w:w="16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default" w:ascii="Times New Roman" w:hAnsi="Times New Roman" w:eastAsia="仿宋_GB2312" w:cs="Times New Roman"/>
                <w:color w:val="000000"/>
                <w:kern w:val="0"/>
                <w:sz w:val="24"/>
                <w:lang w:bidi="ar"/>
              </w:rPr>
            </w:pPr>
          </w:p>
        </w:tc>
        <w:tc>
          <w:tcPr>
            <w:tcW w:w="1571"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采收管理</w:t>
            </w:r>
          </w:p>
        </w:tc>
        <w:tc>
          <w:tcPr>
            <w:tcW w:w="51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left"/>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1.</w:t>
            </w:r>
            <w:r>
              <w:rPr>
                <w:rFonts w:hint="default" w:ascii="Times New Roman" w:hAnsi="Times New Roman" w:eastAsia="仿宋_GB2312" w:cs="Times New Roman"/>
                <w:sz w:val="24"/>
              </w:rPr>
              <w:t>采收</w:t>
            </w:r>
            <w:r>
              <w:rPr>
                <w:rFonts w:hint="default" w:ascii="Times New Roman" w:hAnsi="Times New Roman" w:eastAsia="仿宋_GB2312" w:cs="Times New Roman"/>
                <w:color w:val="000000"/>
                <w:kern w:val="0"/>
                <w:sz w:val="24"/>
                <w:lang w:bidi="ar"/>
              </w:rPr>
              <w:t>现场审核；</w:t>
            </w:r>
          </w:p>
          <w:p>
            <w:pPr>
              <w:widowControl/>
              <w:snapToGrid w:val="0"/>
              <w:jc w:val="left"/>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2.查看</w:t>
            </w:r>
            <w:r>
              <w:rPr>
                <w:rFonts w:hint="default" w:ascii="Times New Roman" w:hAnsi="Times New Roman" w:eastAsia="仿宋_GB2312" w:cs="Times New Roman"/>
                <w:sz w:val="24"/>
              </w:rPr>
              <w:t>采收</w:t>
            </w:r>
            <w:r>
              <w:rPr>
                <w:rFonts w:hint="default" w:ascii="Times New Roman" w:hAnsi="Times New Roman" w:eastAsia="仿宋_GB2312" w:cs="Times New Roman"/>
                <w:color w:val="000000"/>
                <w:kern w:val="0"/>
                <w:sz w:val="24"/>
                <w:lang w:bidi="ar"/>
              </w:rPr>
              <w:t>管理制度；</w:t>
            </w:r>
          </w:p>
          <w:p>
            <w:pPr>
              <w:widowControl/>
              <w:snapToGrid w:val="0"/>
              <w:jc w:val="left"/>
              <w:textAlignment w:val="center"/>
              <w:rPr>
                <w:rFonts w:hint="default" w:ascii="Times New Roman" w:hAnsi="Times New Roman" w:eastAsia="仿宋_GB2312" w:cs="Times New Roman"/>
                <w:sz w:val="24"/>
              </w:rPr>
            </w:pPr>
            <w:r>
              <w:rPr>
                <w:rFonts w:hint="default" w:ascii="Times New Roman" w:hAnsi="Times New Roman" w:eastAsia="仿宋_GB2312" w:cs="Times New Roman"/>
                <w:color w:val="000000"/>
                <w:kern w:val="0"/>
                <w:sz w:val="24"/>
                <w:lang w:bidi="ar"/>
              </w:rPr>
              <w:t>3.查看</w:t>
            </w:r>
            <w:r>
              <w:rPr>
                <w:rFonts w:hint="default" w:ascii="Times New Roman" w:hAnsi="Times New Roman" w:eastAsia="仿宋_GB2312" w:cs="Times New Roman"/>
                <w:sz w:val="24"/>
              </w:rPr>
              <w:t>采收</w:t>
            </w:r>
            <w:r>
              <w:rPr>
                <w:rFonts w:hint="default" w:ascii="Times New Roman" w:hAnsi="Times New Roman" w:eastAsia="仿宋_GB2312" w:cs="Times New Roman"/>
                <w:color w:val="000000"/>
                <w:kern w:val="0"/>
                <w:sz w:val="24"/>
                <w:lang w:bidi="ar"/>
              </w:rPr>
              <w:t>记录。</w:t>
            </w:r>
          </w:p>
        </w:tc>
      </w:tr>
      <w:tr>
        <w:tblPrEx>
          <w:tblCellMar>
            <w:top w:w="32" w:type="dxa"/>
            <w:left w:w="64" w:type="dxa"/>
            <w:bottom w:w="32" w:type="dxa"/>
            <w:right w:w="64" w:type="dxa"/>
          </w:tblCellMar>
        </w:tblPrEx>
        <w:trPr>
          <w:trHeight w:val="680" w:hRule="atLeast"/>
          <w:jc w:val="center"/>
        </w:trPr>
        <w:tc>
          <w:tcPr>
            <w:tcW w:w="16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default" w:ascii="Times New Roman" w:hAnsi="Times New Roman" w:eastAsia="仿宋_GB2312" w:cs="Times New Roman"/>
                <w:color w:val="000000"/>
                <w:kern w:val="0"/>
                <w:sz w:val="24"/>
                <w:lang w:bidi="ar"/>
              </w:rPr>
            </w:pPr>
          </w:p>
        </w:tc>
        <w:tc>
          <w:tcPr>
            <w:tcW w:w="1571"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加工管理</w:t>
            </w:r>
          </w:p>
        </w:tc>
        <w:tc>
          <w:tcPr>
            <w:tcW w:w="51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left"/>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1.</w:t>
            </w:r>
            <w:r>
              <w:rPr>
                <w:rFonts w:hint="default" w:ascii="Times New Roman" w:hAnsi="Times New Roman" w:eastAsia="仿宋_GB2312" w:cs="Times New Roman"/>
                <w:sz w:val="24"/>
              </w:rPr>
              <w:t>加工</w:t>
            </w:r>
            <w:r>
              <w:rPr>
                <w:rFonts w:hint="default" w:ascii="Times New Roman" w:hAnsi="Times New Roman" w:eastAsia="仿宋_GB2312" w:cs="Times New Roman"/>
                <w:color w:val="000000"/>
                <w:kern w:val="0"/>
                <w:sz w:val="24"/>
                <w:lang w:bidi="ar"/>
              </w:rPr>
              <w:t>现场审核；</w:t>
            </w:r>
          </w:p>
          <w:p>
            <w:pPr>
              <w:widowControl/>
              <w:snapToGrid w:val="0"/>
              <w:jc w:val="left"/>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2.查看</w:t>
            </w:r>
            <w:r>
              <w:rPr>
                <w:rFonts w:hint="default" w:ascii="Times New Roman" w:hAnsi="Times New Roman" w:eastAsia="仿宋_GB2312" w:cs="Times New Roman"/>
                <w:sz w:val="24"/>
              </w:rPr>
              <w:t>加工</w:t>
            </w:r>
            <w:r>
              <w:rPr>
                <w:rFonts w:hint="default" w:ascii="Times New Roman" w:hAnsi="Times New Roman" w:eastAsia="仿宋_GB2312" w:cs="Times New Roman"/>
                <w:color w:val="000000"/>
                <w:kern w:val="0"/>
                <w:sz w:val="24"/>
                <w:lang w:bidi="ar"/>
              </w:rPr>
              <w:t>管理制度；</w:t>
            </w:r>
          </w:p>
          <w:p>
            <w:pPr>
              <w:widowControl/>
              <w:snapToGrid w:val="0"/>
              <w:jc w:val="left"/>
              <w:textAlignment w:val="center"/>
              <w:rPr>
                <w:rFonts w:hint="default" w:ascii="Times New Roman" w:hAnsi="Times New Roman" w:eastAsia="仿宋_GB2312" w:cs="Times New Roman"/>
                <w:sz w:val="24"/>
              </w:rPr>
            </w:pPr>
            <w:r>
              <w:rPr>
                <w:rFonts w:hint="default" w:ascii="Times New Roman" w:hAnsi="Times New Roman" w:eastAsia="仿宋_GB2312" w:cs="Times New Roman"/>
                <w:color w:val="000000"/>
                <w:kern w:val="0"/>
                <w:sz w:val="24"/>
                <w:lang w:bidi="ar"/>
              </w:rPr>
              <w:t>3.查看</w:t>
            </w:r>
            <w:r>
              <w:rPr>
                <w:rFonts w:hint="default" w:ascii="Times New Roman" w:hAnsi="Times New Roman" w:eastAsia="仿宋_GB2312" w:cs="Times New Roman"/>
                <w:sz w:val="24"/>
              </w:rPr>
              <w:t>加工</w:t>
            </w:r>
            <w:r>
              <w:rPr>
                <w:rFonts w:hint="default" w:ascii="Times New Roman" w:hAnsi="Times New Roman" w:eastAsia="仿宋_GB2312" w:cs="Times New Roman"/>
                <w:color w:val="000000"/>
                <w:kern w:val="0"/>
                <w:sz w:val="24"/>
                <w:lang w:bidi="ar"/>
              </w:rPr>
              <w:t>记录。</w:t>
            </w:r>
          </w:p>
        </w:tc>
      </w:tr>
      <w:tr>
        <w:tblPrEx>
          <w:tblCellMar>
            <w:top w:w="32" w:type="dxa"/>
            <w:left w:w="64" w:type="dxa"/>
            <w:bottom w:w="32" w:type="dxa"/>
            <w:right w:w="64" w:type="dxa"/>
          </w:tblCellMar>
        </w:tblPrEx>
        <w:trPr>
          <w:trHeight w:val="680" w:hRule="atLeast"/>
          <w:jc w:val="center"/>
        </w:trPr>
        <w:tc>
          <w:tcPr>
            <w:tcW w:w="16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default" w:ascii="Times New Roman" w:hAnsi="Times New Roman" w:eastAsia="仿宋_GB2312" w:cs="Times New Roman"/>
                <w:color w:val="000000"/>
                <w:kern w:val="0"/>
                <w:sz w:val="24"/>
                <w:lang w:bidi="ar"/>
              </w:rPr>
            </w:pPr>
          </w:p>
        </w:tc>
        <w:tc>
          <w:tcPr>
            <w:tcW w:w="1571"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包装管理</w:t>
            </w:r>
          </w:p>
        </w:tc>
        <w:tc>
          <w:tcPr>
            <w:tcW w:w="51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left"/>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1.</w:t>
            </w:r>
            <w:r>
              <w:rPr>
                <w:rFonts w:hint="default" w:ascii="Times New Roman" w:hAnsi="Times New Roman" w:eastAsia="仿宋_GB2312" w:cs="Times New Roman"/>
                <w:sz w:val="24"/>
              </w:rPr>
              <w:t>包装</w:t>
            </w:r>
            <w:r>
              <w:rPr>
                <w:rFonts w:hint="default" w:ascii="Times New Roman" w:hAnsi="Times New Roman" w:eastAsia="仿宋_GB2312" w:cs="Times New Roman"/>
                <w:color w:val="000000"/>
                <w:kern w:val="0"/>
                <w:sz w:val="24"/>
                <w:lang w:bidi="ar"/>
              </w:rPr>
              <w:t>现场审核；</w:t>
            </w:r>
          </w:p>
          <w:p>
            <w:pPr>
              <w:widowControl/>
              <w:snapToGrid w:val="0"/>
              <w:jc w:val="left"/>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2.查看</w:t>
            </w:r>
            <w:r>
              <w:rPr>
                <w:rFonts w:hint="default" w:ascii="Times New Roman" w:hAnsi="Times New Roman" w:eastAsia="仿宋_GB2312" w:cs="Times New Roman"/>
                <w:sz w:val="24"/>
              </w:rPr>
              <w:t>包装</w:t>
            </w:r>
            <w:r>
              <w:rPr>
                <w:rFonts w:hint="default" w:ascii="Times New Roman" w:hAnsi="Times New Roman" w:eastAsia="仿宋_GB2312" w:cs="Times New Roman"/>
                <w:color w:val="000000"/>
                <w:kern w:val="0"/>
                <w:sz w:val="24"/>
                <w:lang w:bidi="ar"/>
              </w:rPr>
              <w:t>管理制度；</w:t>
            </w:r>
          </w:p>
          <w:p>
            <w:pPr>
              <w:widowControl/>
              <w:snapToGrid w:val="0"/>
              <w:jc w:val="left"/>
              <w:textAlignment w:val="center"/>
              <w:rPr>
                <w:rFonts w:hint="default" w:ascii="Times New Roman" w:hAnsi="Times New Roman" w:eastAsia="仿宋_GB2312" w:cs="Times New Roman"/>
                <w:sz w:val="24"/>
              </w:rPr>
            </w:pPr>
            <w:r>
              <w:rPr>
                <w:rFonts w:hint="default" w:ascii="Times New Roman" w:hAnsi="Times New Roman" w:eastAsia="仿宋_GB2312" w:cs="Times New Roman"/>
                <w:color w:val="000000"/>
                <w:kern w:val="0"/>
                <w:sz w:val="24"/>
                <w:lang w:bidi="ar"/>
              </w:rPr>
              <w:t>3.查看</w:t>
            </w:r>
            <w:r>
              <w:rPr>
                <w:rFonts w:hint="default" w:ascii="Times New Roman" w:hAnsi="Times New Roman" w:eastAsia="仿宋_GB2312" w:cs="Times New Roman"/>
                <w:sz w:val="24"/>
              </w:rPr>
              <w:t>包装</w:t>
            </w:r>
            <w:r>
              <w:rPr>
                <w:rFonts w:hint="default" w:ascii="Times New Roman" w:hAnsi="Times New Roman" w:eastAsia="仿宋_GB2312" w:cs="Times New Roman"/>
                <w:color w:val="000000"/>
                <w:kern w:val="0"/>
                <w:sz w:val="24"/>
                <w:lang w:bidi="ar"/>
              </w:rPr>
              <w:t>记录。</w:t>
            </w:r>
          </w:p>
        </w:tc>
      </w:tr>
      <w:tr>
        <w:tblPrEx>
          <w:tblCellMar>
            <w:top w:w="32" w:type="dxa"/>
            <w:left w:w="64" w:type="dxa"/>
            <w:bottom w:w="32" w:type="dxa"/>
            <w:right w:w="64" w:type="dxa"/>
          </w:tblCellMar>
        </w:tblPrEx>
        <w:trPr>
          <w:trHeight w:val="680" w:hRule="atLeast"/>
          <w:jc w:val="center"/>
        </w:trPr>
        <w:tc>
          <w:tcPr>
            <w:tcW w:w="16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default" w:ascii="Times New Roman" w:hAnsi="Times New Roman" w:eastAsia="仿宋_GB2312" w:cs="Times New Roman"/>
                <w:color w:val="000000"/>
                <w:kern w:val="0"/>
                <w:sz w:val="24"/>
                <w:lang w:bidi="ar"/>
              </w:rPr>
            </w:pPr>
          </w:p>
        </w:tc>
        <w:tc>
          <w:tcPr>
            <w:tcW w:w="1571"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贮藏管理</w:t>
            </w:r>
          </w:p>
        </w:tc>
        <w:tc>
          <w:tcPr>
            <w:tcW w:w="51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left"/>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1.</w:t>
            </w:r>
            <w:r>
              <w:rPr>
                <w:rFonts w:hint="default" w:ascii="Times New Roman" w:hAnsi="Times New Roman" w:eastAsia="仿宋_GB2312" w:cs="Times New Roman"/>
                <w:sz w:val="24"/>
              </w:rPr>
              <w:t>现场审核</w:t>
            </w:r>
            <w:r>
              <w:rPr>
                <w:rFonts w:hint="default" w:ascii="Times New Roman" w:hAnsi="Times New Roman" w:eastAsia="仿宋_GB2312" w:cs="Times New Roman"/>
                <w:color w:val="000000"/>
                <w:kern w:val="0"/>
                <w:sz w:val="24"/>
                <w:lang w:bidi="ar"/>
              </w:rPr>
              <w:t>；</w:t>
            </w:r>
          </w:p>
          <w:p>
            <w:pPr>
              <w:widowControl/>
              <w:snapToGrid w:val="0"/>
              <w:jc w:val="left"/>
              <w:textAlignment w:val="center"/>
              <w:rPr>
                <w:rFonts w:hint="default" w:ascii="Times New Roman" w:hAnsi="Times New Roman" w:eastAsia="仿宋_GB2312" w:cs="Times New Roman"/>
                <w:sz w:val="24"/>
              </w:rPr>
            </w:pPr>
            <w:r>
              <w:rPr>
                <w:rFonts w:hint="default" w:ascii="Times New Roman" w:hAnsi="Times New Roman" w:eastAsia="仿宋_GB2312" w:cs="Times New Roman"/>
                <w:color w:val="000000"/>
                <w:kern w:val="0"/>
                <w:sz w:val="24"/>
                <w:lang w:bidi="ar"/>
              </w:rPr>
              <w:t>2.查看</w:t>
            </w:r>
            <w:r>
              <w:rPr>
                <w:rFonts w:hint="default" w:ascii="Times New Roman" w:hAnsi="Times New Roman" w:eastAsia="仿宋_GB2312" w:cs="Times New Roman"/>
                <w:sz w:val="24"/>
              </w:rPr>
              <w:t>贮藏</w:t>
            </w:r>
            <w:r>
              <w:rPr>
                <w:rFonts w:hint="default" w:ascii="Times New Roman" w:hAnsi="Times New Roman" w:eastAsia="仿宋_GB2312" w:cs="Times New Roman"/>
                <w:color w:val="000000"/>
                <w:kern w:val="0"/>
                <w:sz w:val="24"/>
                <w:lang w:bidi="ar"/>
              </w:rPr>
              <w:t>管理制度。</w:t>
            </w:r>
          </w:p>
        </w:tc>
      </w:tr>
      <w:tr>
        <w:tblPrEx>
          <w:tblCellMar>
            <w:top w:w="32" w:type="dxa"/>
            <w:left w:w="64" w:type="dxa"/>
            <w:bottom w:w="32" w:type="dxa"/>
            <w:right w:w="64" w:type="dxa"/>
          </w:tblCellMar>
        </w:tblPrEx>
        <w:trPr>
          <w:trHeight w:val="680" w:hRule="atLeast"/>
          <w:jc w:val="center"/>
        </w:trPr>
        <w:tc>
          <w:tcPr>
            <w:tcW w:w="16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default" w:ascii="Times New Roman" w:hAnsi="Times New Roman" w:eastAsia="仿宋_GB2312" w:cs="Times New Roman"/>
                <w:color w:val="000000"/>
                <w:kern w:val="0"/>
                <w:sz w:val="24"/>
                <w:lang w:bidi="ar"/>
              </w:rPr>
            </w:pPr>
          </w:p>
        </w:tc>
        <w:tc>
          <w:tcPr>
            <w:tcW w:w="1571"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养护管理</w:t>
            </w:r>
          </w:p>
        </w:tc>
        <w:tc>
          <w:tcPr>
            <w:tcW w:w="51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left"/>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1.人员能力现场审核；</w:t>
            </w:r>
          </w:p>
          <w:p>
            <w:pPr>
              <w:widowControl/>
              <w:snapToGrid w:val="0"/>
              <w:jc w:val="left"/>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2.查看</w:t>
            </w:r>
            <w:r>
              <w:rPr>
                <w:rFonts w:hint="default" w:ascii="Times New Roman" w:hAnsi="Times New Roman" w:eastAsia="仿宋_GB2312" w:cs="Times New Roman"/>
                <w:sz w:val="24"/>
              </w:rPr>
              <w:t>养护</w:t>
            </w:r>
            <w:r>
              <w:rPr>
                <w:rFonts w:hint="default" w:ascii="Times New Roman" w:hAnsi="Times New Roman" w:eastAsia="仿宋_GB2312" w:cs="Times New Roman"/>
                <w:color w:val="000000"/>
                <w:kern w:val="0"/>
                <w:sz w:val="24"/>
                <w:lang w:bidi="ar"/>
              </w:rPr>
              <w:t>管理制度；</w:t>
            </w:r>
          </w:p>
          <w:p>
            <w:pPr>
              <w:widowControl/>
              <w:snapToGrid w:val="0"/>
              <w:jc w:val="left"/>
              <w:textAlignment w:val="center"/>
              <w:rPr>
                <w:rFonts w:hint="default" w:ascii="Times New Roman" w:hAnsi="Times New Roman" w:eastAsia="仿宋_GB2312" w:cs="Times New Roman"/>
                <w:sz w:val="24"/>
              </w:rPr>
            </w:pPr>
            <w:r>
              <w:rPr>
                <w:rFonts w:hint="default" w:ascii="Times New Roman" w:hAnsi="Times New Roman" w:eastAsia="仿宋_GB2312" w:cs="Times New Roman"/>
                <w:color w:val="000000"/>
                <w:kern w:val="0"/>
                <w:sz w:val="24"/>
                <w:lang w:bidi="ar"/>
              </w:rPr>
              <w:t>3.查看</w:t>
            </w:r>
            <w:r>
              <w:rPr>
                <w:rFonts w:hint="default" w:ascii="Times New Roman" w:hAnsi="Times New Roman" w:eastAsia="仿宋_GB2312" w:cs="Times New Roman"/>
                <w:sz w:val="24"/>
              </w:rPr>
              <w:t>养护</w:t>
            </w:r>
            <w:r>
              <w:rPr>
                <w:rFonts w:hint="default" w:ascii="Times New Roman" w:hAnsi="Times New Roman" w:eastAsia="仿宋_GB2312" w:cs="Times New Roman"/>
                <w:color w:val="000000"/>
                <w:kern w:val="0"/>
                <w:sz w:val="24"/>
                <w:lang w:bidi="ar"/>
              </w:rPr>
              <w:t>记录。</w:t>
            </w:r>
          </w:p>
        </w:tc>
      </w:tr>
      <w:tr>
        <w:tblPrEx>
          <w:tblCellMar>
            <w:top w:w="32" w:type="dxa"/>
            <w:left w:w="64" w:type="dxa"/>
            <w:bottom w:w="32" w:type="dxa"/>
            <w:right w:w="64" w:type="dxa"/>
          </w:tblCellMar>
        </w:tblPrEx>
        <w:trPr>
          <w:trHeight w:val="680" w:hRule="atLeast"/>
          <w:jc w:val="center"/>
        </w:trPr>
        <w:tc>
          <w:tcPr>
            <w:tcW w:w="16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default" w:ascii="Times New Roman" w:hAnsi="Times New Roman" w:eastAsia="仿宋_GB2312" w:cs="Times New Roman"/>
                <w:color w:val="000000"/>
                <w:kern w:val="0"/>
                <w:sz w:val="24"/>
                <w:lang w:bidi="ar"/>
              </w:rPr>
            </w:pPr>
          </w:p>
        </w:tc>
        <w:tc>
          <w:tcPr>
            <w:tcW w:w="1571"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追溯管理</w:t>
            </w:r>
          </w:p>
        </w:tc>
        <w:tc>
          <w:tcPr>
            <w:tcW w:w="51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left"/>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1.查看</w:t>
            </w:r>
            <w:r>
              <w:rPr>
                <w:rFonts w:hint="default" w:ascii="Times New Roman" w:hAnsi="Times New Roman" w:eastAsia="仿宋_GB2312" w:cs="Times New Roman"/>
                <w:sz w:val="24"/>
              </w:rPr>
              <w:t>追溯</w:t>
            </w:r>
            <w:r>
              <w:rPr>
                <w:rFonts w:hint="default" w:ascii="Times New Roman" w:hAnsi="Times New Roman" w:eastAsia="仿宋_GB2312" w:cs="Times New Roman"/>
                <w:color w:val="000000"/>
                <w:kern w:val="0"/>
                <w:sz w:val="24"/>
                <w:lang w:bidi="ar"/>
              </w:rPr>
              <w:t>管理制度；</w:t>
            </w:r>
          </w:p>
          <w:p>
            <w:pPr>
              <w:widowControl/>
              <w:snapToGrid w:val="0"/>
              <w:jc w:val="left"/>
              <w:textAlignment w:val="center"/>
              <w:rPr>
                <w:rFonts w:hint="default" w:ascii="Times New Roman" w:hAnsi="Times New Roman" w:eastAsia="仿宋_GB2312" w:cs="Times New Roman"/>
                <w:sz w:val="24"/>
              </w:rPr>
            </w:pPr>
            <w:r>
              <w:rPr>
                <w:rFonts w:hint="default" w:ascii="Times New Roman" w:hAnsi="Times New Roman" w:eastAsia="仿宋_GB2312" w:cs="Times New Roman"/>
                <w:color w:val="000000"/>
                <w:kern w:val="0"/>
                <w:sz w:val="24"/>
                <w:lang w:bidi="ar"/>
              </w:rPr>
              <w:t>2.查看</w:t>
            </w:r>
            <w:r>
              <w:rPr>
                <w:rFonts w:hint="default" w:ascii="Times New Roman" w:hAnsi="Times New Roman" w:eastAsia="仿宋_GB2312" w:cs="Times New Roman"/>
                <w:sz w:val="24"/>
              </w:rPr>
              <w:t>相关</w:t>
            </w:r>
            <w:r>
              <w:rPr>
                <w:rFonts w:hint="default" w:ascii="Times New Roman" w:hAnsi="Times New Roman" w:eastAsia="仿宋_GB2312" w:cs="Times New Roman"/>
                <w:color w:val="000000"/>
                <w:kern w:val="0"/>
                <w:sz w:val="24"/>
                <w:lang w:bidi="ar"/>
              </w:rPr>
              <w:t>记录。</w:t>
            </w:r>
          </w:p>
        </w:tc>
      </w:tr>
      <w:tr>
        <w:tblPrEx>
          <w:tblCellMar>
            <w:top w:w="32" w:type="dxa"/>
            <w:left w:w="64" w:type="dxa"/>
            <w:bottom w:w="32" w:type="dxa"/>
            <w:right w:w="64" w:type="dxa"/>
          </w:tblCellMar>
        </w:tblPrEx>
        <w:trPr>
          <w:trHeight w:val="680" w:hRule="atLeast"/>
          <w:jc w:val="center"/>
        </w:trPr>
        <w:tc>
          <w:tcPr>
            <w:tcW w:w="16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default" w:ascii="Times New Roman" w:hAnsi="Times New Roman" w:eastAsia="仿宋_GB2312" w:cs="Times New Roman"/>
                <w:color w:val="000000"/>
                <w:kern w:val="0"/>
                <w:sz w:val="24"/>
                <w:lang w:bidi="ar"/>
              </w:rPr>
            </w:pPr>
          </w:p>
        </w:tc>
        <w:tc>
          <w:tcPr>
            <w:tcW w:w="1571"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发运管理</w:t>
            </w:r>
          </w:p>
        </w:tc>
        <w:tc>
          <w:tcPr>
            <w:tcW w:w="51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left"/>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1.查看</w:t>
            </w:r>
            <w:r>
              <w:rPr>
                <w:rFonts w:hint="default" w:ascii="Times New Roman" w:hAnsi="Times New Roman" w:eastAsia="仿宋_GB2312" w:cs="Times New Roman"/>
                <w:sz w:val="24"/>
              </w:rPr>
              <w:t>发运</w:t>
            </w:r>
            <w:r>
              <w:rPr>
                <w:rFonts w:hint="default" w:ascii="Times New Roman" w:hAnsi="Times New Roman" w:eastAsia="仿宋_GB2312" w:cs="Times New Roman"/>
                <w:color w:val="000000"/>
                <w:kern w:val="0"/>
                <w:sz w:val="24"/>
                <w:lang w:bidi="ar"/>
              </w:rPr>
              <w:t>管理制度；</w:t>
            </w:r>
          </w:p>
          <w:p>
            <w:pPr>
              <w:widowControl/>
              <w:snapToGrid w:val="0"/>
              <w:jc w:val="left"/>
              <w:textAlignment w:val="center"/>
              <w:rPr>
                <w:rFonts w:hint="default" w:ascii="Times New Roman" w:hAnsi="Times New Roman" w:eastAsia="仿宋_GB2312" w:cs="Times New Roman"/>
                <w:sz w:val="24"/>
              </w:rPr>
            </w:pPr>
            <w:r>
              <w:rPr>
                <w:rFonts w:hint="default" w:ascii="Times New Roman" w:hAnsi="Times New Roman" w:eastAsia="仿宋_GB2312" w:cs="Times New Roman"/>
                <w:color w:val="000000"/>
                <w:kern w:val="0"/>
                <w:sz w:val="24"/>
                <w:lang w:bidi="ar"/>
              </w:rPr>
              <w:t>2.查看</w:t>
            </w:r>
            <w:r>
              <w:rPr>
                <w:rFonts w:hint="default" w:ascii="Times New Roman" w:hAnsi="Times New Roman" w:eastAsia="仿宋_GB2312" w:cs="Times New Roman"/>
                <w:sz w:val="24"/>
              </w:rPr>
              <w:t>发运</w:t>
            </w:r>
            <w:r>
              <w:rPr>
                <w:rFonts w:hint="default" w:ascii="Times New Roman" w:hAnsi="Times New Roman" w:eastAsia="仿宋_GB2312" w:cs="Times New Roman"/>
                <w:color w:val="000000"/>
                <w:kern w:val="0"/>
                <w:sz w:val="24"/>
                <w:lang w:bidi="ar"/>
              </w:rPr>
              <w:t>记录。</w:t>
            </w:r>
          </w:p>
        </w:tc>
      </w:tr>
      <w:tr>
        <w:tblPrEx>
          <w:tblCellMar>
            <w:top w:w="32" w:type="dxa"/>
            <w:left w:w="64" w:type="dxa"/>
            <w:bottom w:w="32" w:type="dxa"/>
            <w:right w:w="64" w:type="dxa"/>
          </w:tblCellMar>
        </w:tblPrEx>
        <w:trPr>
          <w:trHeight w:val="680" w:hRule="atLeast"/>
          <w:jc w:val="center"/>
        </w:trPr>
        <w:tc>
          <w:tcPr>
            <w:tcW w:w="16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default" w:ascii="Times New Roman" w:hAnsi="Times New Roman" w:eastAsia="仿宋_GB2312" w:cs="Times New Roman"/>
                <w:color w:val="000000"/>
                <w:kern w:val="0"/>
                <w:sz w:val="24"/>
                <w:lang w:bidi="ar"/>
              </w:rPr>
            </w:pPr>
          </w:p>
        </w:tc>
        <w:tc>
          <w:tcPr>
            <w:tcW w:w="1571"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销售管理</w:t>
            </w:r>
          </w:p>
        </w:tc>
        <w:tc>
          <w:tcPr>
            <w:tcW w:w="51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left"/>
              <w:textAlignment w:val="center"/>
              <w:rPr>
                <w:rFonts w:hint="default" w:ascii="Times New Roman" w:hAnsi="Times New Roman" w:eastAsia="仿宋_GB2312" w:cs="Times New Roman"/>
                <w:sz w:val="24"/>
              </w:rPr>
            </w:pPr>
            <w:r>
              <w:rPr>
                <w:rFonts w:hint="default" w:ascii="Times New Roman" w:hAnsi="Times New Roman" w:eastAsia="仿宋_GB2312" w:cs="Times New Roman"/>
                <w:color w:val="000000"/>
                <w:kern w:val="0"/>
                <w:sz w:val="24"/>
                <w:lang w:bidi="ar"/>
              </w:rPr>
              <w:t>查看中药材销售台账以及相关合同与销售凭据。</w:t>
            </w:r>
          </w:p>
        </w:tc>
      </w:tr>
      <w:tr>
        <w:tblPrEx>
          <w:tblCellMar>
            <w:top w:w="32" w:type="dxa"/>
            <w:left w:w="64" w:type="dxa"/>
            <w:bottom w:w="32" w:type="dxa"/>
            <w:right w:w="64" w:type="dxa"/>
          </w:tblCellMar>
        </w:tblPrEx>
        <w:trPr>
          <w:trHeight w:val="680" w:hRule="atLeast"/>
          <w:jc w:val="center"/>
        </w:trPr>
        <w:tc>
          <w:tcPr>
            <w:tcW w:w="16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default" w:ascii="Times New Roman" w:hAnsi="Times New Roman" w:eastAsia="仿宋_GB2312" w:cs="Times New Roman"/>
                <w:color w:val="000000"/>
                <w:kern w:val="0"/>
                <w:sz w:val="24"/>
                <w:lang w:bidi="ar"/>
              </w:rPr>
            </w:pPr>
          </w:p>
        </w:tc>
        <w:tc>
          <w:tcPr>
            <w:tcW w:w="1571"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资源供给保障</w:t>
            </w:r>
          </w:p>
        </w:tc>
        <w:tc>
          <w:tcPr>
            <w:tcW w:w="51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left"/>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1.查阅供货履约记录；</w:t>
            </w:r>
          </w:p>
          <w:p>
            <w:pPr>
              <w:widowControl/>
              <w:snapToGrid w:val="0"/>
              <w:jc w:val="left"/>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2.查看种植养殖规模、仓储及加工能力。</w:t>
            </w:r>
          </w:p>
        </w:tc>
      </w:tr>
      <w:tr>
        <w:tblPrEx>
          <w:tblCellMar>
            <w:top w:w="32" w:type="dxa"/>
            <w:left w:w="64" w:type="dxa"/>
            <w:bottom w:w="32" w:type="dxa"/>
            <w:right w:w="64" w:type="dxa"/>
          </w:tblCellMar>
        </w:tblPrEx>
        <w:trPr>
          <w:trHeight w:val="680" w:hRule="atLeast"/>
          <w:jc w:val="center"/>
        </w:trPr>
        <w:tc>
          <w:tcPr>
            <w:tcW w:w="16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default" w:ascii="Times New Roman" w:hAnsi="Times New Roman" w:eastAsia="仿宋_GB2312" w:cs="Times New Roman"/>
                <w:color w:val="000000"/>
                <w:kern w:val="0"/>
                <w:sz w:val="24"/>
                <w:lang w:bidi="ar"/>
              </w:rPr>
            </w:pPr>
          </w:p>
        </w:tc>
        <w:tc>
          <w:tcPr>
            <w:tcW w:w="1571"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特殊管理要求</w:t>
            </w:r>
          </w:p>
        </w:tc>
        <w:tc>
          <w:tcPr>
            <w:tcW w:w="51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left"/>
              <w:textAlignment w:val="center"/>
              <w:rPr>
                <w:rFonts w:hint="default" w:ascii="Times New Roman" w:hAnsi="Times New Roman" w:eastAsia="仿宋_GB2312" w:cs="Times New Roman"/>
                <w:sz w:val="24"/>
              </w:rPr>
            </w:pPr>
            <w:r>
              <w:rPr>
                <w:rFonts w:hint="default" w:ascii="Times New Roman" w:hAnsi="Times New Roman" w:eastAsia="仿宋_GB2312" w:cs="Times New Roman"/>
                <w:color w:val="000000"/>
                <w:kern w:val="0"/>
                <w:sz w:val="24"/>
                <w:lang w:bidi="ar"/>
              </w:rPr>
              <w:t>查看相关管理制度</w:t>
            </w:r>
          </w:p>
        </w:tc>
      </w:tr>
      <w:tr>
        <w:tblPrEx>
          <w:tblCellMar>
            <w:top w:w="32" w:type="dxa"/>
            <w:left w:w="64" w:type="dxa"/>
            <w:bottom w:w="32" w:type="dxa"/>
            <w:right w:w="64" w:type="dxa"/>
          </w:tblCellMar>
        </w:tblPrEx>
        <w:trPr>
          <w:trHeight w:val="680" w:hRule="atLeast"/>
          <w:jc w:val="center"/>
        </w:trPr>
        <w:tc>
          <w:tcPr>
            <w:tcW w:w="1690" w:type="dxa"/>
            <w:vMerge w:val="restart"/>
            <w:tcBorders>
              <w:top w:val="single" w:color="auto" w:sz="4" w:space="0"/>
              <w:left w:val="single" w:color="000000" w:sz="4" w:space="0"/>
              <w:right w:val="single" w:color="000000" w:sz="4" w:space="0"/>
            </w:tcBorders>
            <w:shd w:val="clear" w:color="auto" w:fill="auto"/>
            <w:vAlign w:val="center"/>
          </w:tcPr>
          <w:p>
            <w:pPr>
              <w:snapToGrid w:val="0"/>
              <w:jc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中药材</w:t>
            </w:r>
          </w:p>
          <w:p>
            <w:pPr>
              <w:snapToGrid w:val="0"/>
              <w:jc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经营企业</w:t>
            </w:r>
          </w:p>
        </w:tc>
        <w:tc>
          <w:tcPr>
            <w:tcW w:w="1571" w:type="dxa"/>
            <w:tcBorders>
              <w:top w:val="single" w:color="auto" w:sz="4" w:space="0"/>
              <w:left w:val="single" w:color="000000" w:sz="4" w:space="0"/>
              <w:bottom w:val="single" w:color="000000" w:sz="4" w:space="0"/>
              <w:right w:val="single" w:color="000000" w:sz="4" w:space="0"/>
            </w:tcBorders>
            <w:shd w:val="clear" w:color="auto" w:fill="auto"/>
            <w:vAlign w:val="center"/>
          </w:tcPr>
          <w:p>
            <w:pPr>
              <w:snapToGrid w:val="0"/>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bCs/>
                <w:sz w:val="24"/>
              </w:rPr>
              <w:t>资质证明</w:t>
            </w:r>
          </w:p>
        </w:tc>
        <w:tc>
          <w:tcPr>
            <w:tcW w:w="5171"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napToGrid w:val="0"/>
              <w:jc w:val="left"/>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审核营业执照。</w:t>
            </w:r>
          </w:p>
        </w:tc>
      </w:tr>
      <w:tr>
        <w:tblPrEx>
          <w:tblCellMar>
            <w:top w:w="32" w:type="dxa"/>
            <w:left w:w="64" w:type="dxa"/>
            <w:bottom w:w="32" w:type="dxa"/>
            <w:right w:w="64" w:type="dxa"/>
          </w:tblCellMar>
        </w:tblPrEx>
        <w:trPr>
          <w:trHeight w:val="680" w:hRule="atLeast"/>
          <w:jc w:val="center"/>
        </w:trPr>
        <w:tc>
          <w:tcPr>
            <w:tcW w:w="1690" w:type="dxa"/>
            <w:vMerge w:val="continue"/>
            <w:tcBorders>
              <w:left w:val="single" w:color="000000" w:sz="4" w:space="0"/>
              <w:right w:val="single" w:color="000000" w:sz="4" w:space="0"/>
            </w:tcBorders>
            <w:shd w:val="clear" w:color="auto" w:fill="auto"/>
            <w:vAlign w:val="center"/>
          </w:tcPr>
          <w:p>
            <w:pPr>
              <w:widowControl/>
              <w:snapToGrid w:val="0"/>
              <w:jc w:val="center"/>
              <w:textAlignment w:val="center"/>
              <w:rPr>
                <w:rFonts w:hint="default" w:ascii="Times New Roman" w:hAnsi="Times New Roman" w:eastAsia="仿宋_GB2312" w:cs="Times New Roman"/>
                <w:color w:val="000000"/>
                <w:sz w:val="24"/>
              </w:rPr>
            </w:pP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bCs/>
                <w:sz w:val="24"/>
              </w:rPr>
              <w:t>质量保证</w:t>
            </w:r>
          </w:p>
        </w:tc>
        <w:tc>
          <w:tcPr>
            <w:tcW w:w="51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left"/>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1.查看关键人员</w:t>
            </w:r>
            <w:r>
              <w:rPr>
                <w:rFonts w:hint="eastAsia" w:ascii="Times New Roman" w:hAnsi="Times New Roman" w:eastAsia="仿宋_GB2312" w:cs="Times New Roman"/>
                <w:color w:val="000000"/>
                <w:kern w:val="0"/>
                <w:sz w:val="24"/>
                <w:lang w:eastAsia="zh-CN" w:bidi="ar"/>
              </w:rPr>
              <w:t>相关</w:t>
            </w:r>
            <w:r>
              <w:rPr>
                <w:rFonts w:hint="default" w:ascii="Times New Roman" w:hAnsi="Times New Roman" w:eastAsia="仿宋_GB2312" w:cs="Times New Roman"/>
                <w:color w:val="000000"/>
                <w:kern w:val="0"/>
                <w:sz w:val="24"/>
                <w:lang w:bidi="ar"/>
              </w:rPr>
              <w:t>证明材料；</w:t>
            </w:r>
          </w:p>
          <w:p>
            <w:pPr>
              <w:widowControl/>
              <w:snapToGrid w:val="0"/>
              <w:jc w:val="left"/>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2.查看组织架构、管理制度等。</w:t>
            </w:r>
          </w:p>
        </w:tc>
      </w:tr>
      <w:tr>
        <w:tblPrEx>
          <w:tblCellMar>
            <w:top w:w="32" w:type="dxa"/>
            <w:left w:w="64" w:type="dxa"/>
            <w:bottom w:w="32" w:type="dxa"/>
            <w:right w:w="64" w:type="dxa"/>
          </w:tblCellMar>
        </w:tblPrEx>
        <w:trPr>
          <w:trHeight w:val="680" w:hRule="atLeast"/>
          <w:jc w:val="center"/>
        </w:trPr>
        <w:tc>
          <w:tcPr>
            <w:tcW w:w="1690" w:type="dxa"/>
            <w:vMerge w:val="continue"/>
            <w:tcBorders>
              <w:left w:val="single" w:color="000000" w:sz="4" w:space="0"/>
              <w:right w:val="single" w:color="000000" w:sz="4" w:space="0"/>
            </w:tcBorders>
            <w:shd w:val="clear" w:color="auto" w:fill="auto"/>
            <w:vAlign w:val="center"/>
          </w:tcPr>
          <w:p>
            <w:pPr>
              <w:snapToGrid w:val="0"/>
              <w:jc w:val="center"/>
              <w:rPr>
                <w:rFonts w:hint="default" w:ascii="Times New Roman" w:hAnsi="Times New Roman" w:eastAsia="仿宋_GB2312" w:cs="Times New Roman"/>
                <w:sz w:val="24"/>
              </w:rPr>
            </w:pP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中药材质量</w:t>
            </w:r>
          </w:p>
        </w:tc>
        <w:tc>
          <w:tcPr>
            <w:tcW w:w="51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left"/>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1.查看中药材基原.质量检验结果；</w:t>
            </w:r>
          </w:p>
          <w:p>
            <w:pPr>
              <w:snapToGrid w:val="0"/>
              <w:jc w:val="left"/>
              <w:rPr>
                <w:rFonts w:hint="default" w:ascii="Times New Roman" w:hAnsi="Times New Roman" w:eastAsia="仿宋_GB2312" w:cs="Times New Roman"/>
                <w:sz w:val="24"/>
              </w:rPr>
            </w:pPr>
            <w:r>
              <w:rPr>
                <w:rFonts w:hint="default" w:ascii="Times New Roman" w:hAnsi="Times New Roman" w:eastAsia="仿宋_GB2312" w:cs="Times New Roman"/>
                <w:color w:val="000000"/>
                <w:kern w:val="0"/>
                <w:sz w:val="24"/>
                <w:lang w:bidi="ar"/>
              </w:rPr>
              <w:t>2.采购方质量协议和采购合同明确质量要求。</w:t>
            </w:r>
          </w:p>
        </w:tc>
      </w:tr>
      <w:tr>
        <w:tblPrEx>
          <w:tblCellMar>
            <w:top w:w="32" w:type="dxa"/>
            <w:left w:w="64" w:type="dxa"/>
            <w:bottom w:w="32" w:type="dxa"/>
            <w:right w:w="64" w:type="dxa"/>
          </w:tblCellMar>
        </w:tblPrEx>
        <w:trPr>
          <w:trHeight w:val="680" w:hRule="atLeast"/>
          <w:jc w:val="center"/>
        </w:trPr>
        <w:tc>
          <w:tcPr>
            <w:tcW w:w="1690" w:type="dxa"/>
            <w:vMerge w:val="continue"/>
            <w:tcBorders>
              <w:left w:val="single" w:color="000000" w:sz="4" w:space="0"/>
              <w:right w:val="single" w:color="000000" w:sz="4" w:space="0"/>
            </w:tcBorders>
            <w:shd w:val="clear" w:color="auto" w:fill="auto"/>
            <w:vAlign w:val="center"/>
          </w:tcPr>
          <w:p>
            <w:pPr>
              <w:snapToGrid w:val="0"/>
              <w:jc w:val="center"/>
              <w:rPr>
                <w:rFonts w:hint="default" w:ascii="Times New Roman" w:hAnsi="Times New Roman" w:eastAsia="仿宋_GB2312" w:cs="Times New Roman"/>
                <w:sz w:val="24"/>
              </w:rPr>
            </w:pP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制度管理</w:t>
            </w:r>
          </w:p>
        </w:tc>
        <w:tc>
          <w:tcPr>
            <w:tcW w:w="517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left"/>
              <w:rPr>
                <w:rFonts w:hint="default" w:ascii="Times New Roman" w:hAnsi="Times New Roman" w:eastAsia="仿宋_GB2312" w:cs="Times New Roman"/>
                <w:sz w:val="24"/>
              </w:rPr>
            </w:pPr>
            <w:r>
              <w:rPr>
                <w:rFonts w:hint="default" w:ascii="Times New Roman" w:hAnsi="Times New Roman" w:eastAsia="仿宋_GB2312" w:cs="Times New Roman"/>
                <w:color w:val="000000"/>
                <w:kern w:val="0"/>
                <w:sz w:val="24"/>
                <w:lang w:bidi="ar"/>
              </w:rPr>
              <w:t>查看中药材经营质量管理相关制度。</w:t>
            </w:r>
          </w:p>
        </w:tc>
      </w:tr>
      <w:tr>
        <w:tblPrEx>
          <w:tblCellMar>
            <w:top w:w="32" w:type="dxa"/>
            <w:left w:w="64" w:type="dxa"/>
            <w:bottom w:w="32" w:type="dxa"/>
            <w:right w:w="64" w:type="dxa"/>
          </w:tblCellMar>
        </w:tblPrEx>
        <w:trPr>
          <w:trHeight w:val="680" w:hRule="atLeast"/>
          <w:jc w:val="center"/>
        </w:trPr>
        <w:tc>
          <w:tcPr>
            <w:tcW w:w="1690" w:type="dxa"/>
            <w:vMerge w:val="continue"/>
            <w:tcBorders>
              <w:left w:val="single" w:color="000000" w:sz="4" w:space="0"/>
              <w:right w:val="single" w:color="000000" w:sz="4" w:space="0"/>
            </w:tcBorders>
            <w:shd w:val="clear" w:color="auto" w:fill="auto"/>
            <w:vAlign w:val="center"/>
          </w:tcPr>
          <w:p>
            <w:pPr>
              <w:snapToGrid w:val="0"/>
              <w:jc w:val="center"/>
              <w:rPr>
                <w:rFonts w:hint="default" w:ascii="Times New Roman" w:hAnsi="Times New Roman" w:eastAsia="仿宋_GB2312" w:cs="Times New Roman"/>
                <w:sz w:val="24"/>
              </w:rPr>
            </w:pP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人员能力</w:t>
            </w:r>
          </w:p>
        </w:tc>
        <w:tc>
          <w:tcPr>
            <w:tcW w:w="517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中药材采购及验收人员能力</w:t>
            </w:r>
            <w:r>
              <w:rPr>
                <w:rFonts w:hint="default" w:ascii="Times New Roman" w:hAnsi="Times New Roman" w:eastAsia="仿宋_GB2312" w:cs="Times New Roman"/>
                <w:color w:val="000000"/>
                <w:kern w:val="0"/>
                <w:sz w:val="24"/>
                <w:lang w:bidi="ar"/>
              </w:rPr>
              <w:t>现场审核。</w:t>
            </w:r>
          </w:p>
        </w:tc>
      </w:tr>
      <w:tr>
        <w:tblPrEx>
          <w:tblCellMar>
            <w:top w:w="32" w:type="dxa"/>
            <w:left w:w="64" w:type="dxa"/>
            <w:bottom w:w="32" w:type="dxa"/>
            <w:right w:w="64" w:type="dxa"/>
          </w:tblCellMar>
        </w:tblPrEx>
        <w:trPr>
          <w:trHeight w:val="680" w:hRule="atLeast"/>
          <w:jc w:val="center"/>
        </w:trPr>
        <w:tc>
          <w:tcPr>
            <w:tcW w:w="1690" w:type="dxa"/>
            <w:vMerge w:val="continue"/>
            <w:tcBorders>
              <w:left w:val="single" w:color="000000" w:sz="4" w:space="0"/>
              <w:right w:val="single" w:color="000000" w:sz="4" w:space="0"/>
            </w:tcBorders>
            <w:shd w:val="clear" w:color="auto" w:fill="auto"/>
            <w:vAlign w:val="center"/>
          </w:tcPr>
          <w:p>
            <w:pPr>
              <w:snapToGrid w:val="0"/>
              <w:jc w:val="center"/>
              <w:rPr>
                <w:rFonts w:hint="default" w:ascii="Times New Roman" w:hAnsi="Times New Roman" w:eastAsia="仿宋_GB2312" w:cs="Times New Roman"/>
                <w:sz w:val="24"/>
              </w:rPr>
            </w:pP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bCs/>
                <w:sz w:val="24"/>
              </w:rPr>
              <w:t>供应商审核</w:t>
            </w:r>
          </w:p>
        </w:tc>
        <w:tc>
          <w:tcPr>
            <w:tcW w:w="51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left"/>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1.查看供应商审核制度；</w:t>
            </w:r>
          </w:p>
          <w:p>
            <w:pPr>
              <w:snapToGrid w:val="0"/>
              <w:jc w:val="left"/>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2.查看供应商审核档案。</w:t>
            </w:r>
          </w:p>
          <w:p>
            <w:pPr>
              <w:snapToGrid w:val="0"/>
              <w:jc w:val="left"/>
              <w:rPr>
                <w:rFonts w:hint="default" w:ascii="Times New Roman" w:hAnsi="Times New Roman" w:eastAsia="仿宋_GB2312" w:cs="Times New Roman"/>
                <w:sz w:val="24"/>
              </w:rPr>
            </w:pPr>
            <w:r>
              <w:rPr>
                <w:rFonts w:hint="default" w:ascii="Times New Roman" w:hAnsi="Times New Roman" w:eastAsia="仿宋_GB2312" w:cs="Times New Roman"/>
                <w:color w:val="000000"/>
                <w:kern w:val="0"/>
                <w:sz w:val="24"/>
                <w:lang w:bidi="ar"/>
              </w:rPr>
              <w:t>3.查看经营企业对上游供应商的审核材料</w:t>
            </w:r>
          </w:p>
        </w:tc>
      </w:tr>
      <w:tr>
        <w:tblPrEx>
          <w:tblCellMar>
            <w:top w:w="32" w:type="dxa"/>
            <w:left w:w="64" w:type="dxa"/>
            <w:bottom w:w="32" w:type="dxa"/>
            <w:right w:w="64" w:type="dxa"/>
          </w:tblCellMar>
        </w:tblPrEx>
        <w:trPr>
          <w:trHeight w:val="680" w:hRule="atLeast"/>
          <w:jc w:val="center"/>
        </w:trPr>
        <w:tc>
          <w:tcPr>
            <w:tcW w:w="1690" w:type="dxa"/>
            <w:vMerge w:val="continue"/>
            <w:tcBorders>
              <w:left w:val="single" w:color="000000" w:sz="4" w:space="0"/>
              <w:right w:val="single" w:color="000000" w:sz="4" w:space="0"/>
            </w:tcBorders>
            <w:shd w:val="clear" w:color="auto" w:fill="auto"/>
            <w:vAlign w:val="center"/>
          </w:tcPr>
          <w:p>
            <w:pPr>
              <w:snapToGrid w:val="0"/>
              <w:jc w:val="center"/>
              <w:rPr>
                <w:rFonts w:hint="default" w:ascii="Times New Roman" w:hAnsi="Times New Roman" w:eastAsia="仿宋_GB2312" w:cs="Times New Roman"/>
                <w:sz w:val="24"/>
              </w:rPr>
            </w:pP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贮藏管理</w:t>
            </w:r>
          </w:p>
        </w:tc>
        <w:tc>
          <w:tcPr>
            <w:tcW w:w="51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left"/>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1.</w:t>
            </w:r>
            <w:r>
              <w:rPr>
                <w:rFonts w:hint="default" w:ascii="Times New Roman" w:hAnsi="Times New Roman" w:eastAsia="仿宋_GB2312" w:cs="Times New Roman"/>
                <w:sz w:val="24"/>
              </w:rPr>
              <w:t>现场审核</w:t>
            </w:r>
            <w:r>
              <w:rPr>
                <w:rFonts w:hint="default" w:ascii="Times New Roman" w:hAnsi="Times New Roman" w:eastAsia="仿宋_GB2312" w:cs="Times New Roman"/>
                <w:color w:val="000000"/>
                <w:kern w:val="0"/>
                <w:sz w:val="24"/>
                <w:lang w:bidi="ar"/>
              </w:rPr>
              <w:t>；</w:t>
            </w:r>
          </w:p>
          <w:p>
            <w:pPr>
              <w:snapToGrid w:val="0"/>
              <w:jc w:val="left"/>
              <w:rPr>
                <w:rFonts w:hint="default" w:ascii="Times New Roman" w:hAnsi="Times New Roman" w:eastAsia="仿宋_GB2312" w:cs="Times New Roman"/>
                <w:sz w:val="24"/>
              </w:rPr>
            </w:pPr>
            <w:r>
              <w:rPr>
                <w:rFonts w:hint="default" w:ascii="Times New Roman" w:hAnsi="Times New Roman" w:eastAsia="仿宋_GB2312" w:cs="Times New Roman"/>
                <w:color w:val="000000"/>
                <w:kern w:val="0"/>
                <w:sz w:val="24"/>
                <w:lang w:bidi="ar"/>
              </w:rPr>
              <w:t>2.查看</w:t>
            </w:r>
            <w:r>
              <w:rPr>
                <w:rFonts w:hint="default" w:ascii="Times New Roman" w:hAnsi="Times New Roman" w:eastAsia="仿宋_GB2312" w:cs="Times New Roman"/>
                <w:sz w:val="24"/>
              </w:rPr>
              <w:t>贮藏</w:t>
            </w:r>
            <w:r>
              <w:rPr>
                <w:rFonts w:hint="default" w:ascii="Times New Roman" w:hAnsi="Times New Roman" w:eastAsia="仿宋_GB2312" w:cs="Times New Roman"/>
                <w:color w:val="000000"/>
                <w:kern w:val="0"/>
                <w:sz w:val="24"/>
                <w:lang w:bidi="ar"/>
              </w:rPr>
              <w:t>管理制度。</w:t>
            </w:r>
          </w:p>
        </w:tc>
      </w:tr>
      <w:tr>
        <w:tblPrEx>
          <w:tblCellMar>
            <w:top w:w="32" w:type="dxa"/>
            <w:left w:w="64" w:type="dxa"/>
            <w:bottom w:w="32" w:type="dxa"/>
            <w:right w:w="64" w:type="dxa"/>
          </w:tblCellMar>
        </w:tblPrEx>
        <w:trPr>
          <w:trHeight w:val="680" w:hRule="atLeast"/>
          <w:jc w:val="center"/>
        </w:trPr>
        <w:tc>
          <w:tcPr>
            <w:tcW w:w="1690" w:type="dxa"/>
            <w:vMerge w:val="continue"/>
            <w:tcBorders>
              <w:left w:val="single" w:color="000000" w:sz="4" w:space="0"/>
              <w:right w:val="single" w:color="000000" w:sz="4" w:space="0"/>
            </w:tcBorders>
            <w:shd w:val="clear" w:color="auto" w:fill="auto"/>
            <w:vAlign w:val="center"/>
          </w:tcPr>
          <w:p>
            <w:pPr>
              <w:snapToGrid w:val="0"/>
              <w:jc w:val="center"/>
              <w:rPr>
                <w:rFonts w:hint="default" w:ascii="Times New Roman" w:hAnsi="Times New Roman" w:eastAsia="仿宋_GB2312" w:cs="Times New Roman"/>
                <w:sz w:val="24"/>
              </w:rPr>
            </w:pP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养护管理</w:t>
            </w:r>
          </w:p>
        </w:tc>
        <w:tc>
          <w:tcPr>
            <w:tcW w:w="51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left"/>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1.人员能力现场审核；</w:t>
            </w:r>
          </w:p>
          <w:p>
            <w:pPr>
              <w:widowControl/>
              <w:snapToGrid w:val="0"/>
              <w:jc w:val="left"/>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2.查看</w:t>
            </w:r>
            <w:r>
              <w:rPr>
                <w:rFonts w:hint="default" w:ascii="Times New Roman" w:hAnsi="Times New Roman" w:eastAsia="仿宋_GB2312" w:cs="Times New Roman"/>
                <w:sz w:val="24"/>
              </w:rPr>
              <w:t>养护</w:t>
            </w:r>
            <w:r>
              <w:rPr>
                <w:rFonts w:hint="default" w:ascii="Times New Roman" w:hAnsi="Times New Roman" w:eastAsia="仿宋_GB2312" w:cs="Times New Roman"/>
                <w:color w:val="000000"/>
                <w:kern w:val="0"/>
                <w:sz w:val="24"/>
                <w:lang w:bidi="ar"/>
              </w:rPr>
              <w:t>管理制度；</w:t>
            </w:r>
          </w:p>
          <w:p>
            <w:pPr>
              <w:snapToGrid w:val="0"/>
              <w:jc w:val="left"/>
              <w:rPr>
                <w:rFonts w:hint="default" w:ascii="Times New Roman" w:hAnsi="Times New Roman" w:eastAsia="仿宋_GB2312" w:cs="Times New Roman"/>
                <w:sz w:val="24"/>
              </w:rPr>
            </w:pPr>
            <w:r>
              <w:rPr>
                <w:rFonts w:hint="default" w:ascii="Times New Roman" w:hAnsi="Times New Roman" w:eastAsia="仿宋_GB2312" w:cs="Times New Roman"/>
                <w:color w:val="000000"/>
                <w:kern w:val="0"/>
                <w:sz w:val="24"/>
                <w:lang w:bidi="ar"/>
              </w:rPr>
              <w:t>3.查看</w:t>
            </w:r>
            <w:r>
              <w:rPr>
                <w:rFonts w:hint="default" w:ascii="Times New Roman" w:hAnsi="Times New Roman" w:eastAsia="仿宋_GB2312" w:cs="Times New Roman"/>
                <w:sz w:val="24"/>
              </w:rPr>
              <w:t>养护</w:t>
            </w:r>
            <w:r>
              <w:rPr>
                <w:rFonts w:hint="default" w:ascii="Times New Roman" w:hAnsi="Times New Roman" w:eastAsia="仿宋_GB2312" w:cs="Times New Roman"/>
                <w:color w:val="000000"/>
                <w:kern w:val="0"/>
                <w:sz w:val="24"/>
                <w:lang w:bidi="ar"/>
              </w:rPr>
              <w:t>记录。</w:t>
            </w:r>
          </w:p>
        </w:tc>
      </w:tr>
      <w:tr>
        <w:tblPrEx>
          <w:tblCellMar>
            <w:top w:w="32" w:type="dxa"/>
            <w:left w:w="64" w:type="dxa"/>
            <w:bottom w:w="32" w:type="dxa"/>
            <w:right w:w="64" w:type="dxa"/>
          </w:tblCellMar>
        </w:tblPrEx>
        <w:trPr>
          <w:trHeight w:val="680" w:hRule="atLeast"/>
          <w:jc w:val="center"/>
        </w:trPr>
        <w:tc>
          <w:tcPr>
            <w:tcW w:w="1690" w:type="dxa"/>
            <w:vMerge w:val="continue"/>
            <w:tcBorders>
              <w:left w:val="single" w:color="000000" w:sz="4" w:space="0"/>
              <w:right w:val="single" w:color="000000" w:sz="4" w:space="0"/>
            </w:tcBorders>
            <w:shd w:val="clear" w:color="auto" w:fill="auto"/>
            <w:vAlign w:val="center"/>
          </w:tcPr>
          <w:p>
            <w:pPr>
              <w:snapToGrid w:val="0"/>
              <w:jc w:val="center"/>
              <w:rPr>
                <w:rFonts w:hint="default" w:ascii="Times New Roman" w:hAnsi="Times New Roman" w:eastAsia="仿宋_GB2312" w:cs="Times New Roman"/>
                <w:sz w:val="24"/>
              </w:rPr>
            </w:pP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bCs/>
                <w:sz w:val="24"/>
              </w:rPr>
              <w:t>发运管理</w:t>
            </w:r>
          </w:p>
        </w:tc>
        <w:tc>
          <w:tcPr>
            <w:tcW w:w="51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left"/>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1.查看</w:t>
            </w:r>
            <w:r>
              <w:rPr>
                <w:rFonts w:hint="default" w:ascii="Times New Roman" w:hAnsi="Times New Roman" w:eastAsia="仿宋_GB2312" w:cs="Times New Roman"/>
                <w:sz w:val="24"/>
              </w:rPr>
              <w:t>发运</w:t>
            </w:r>
            <w:r>
              <w:rPr>
                <w:rFonts w:hint="default" w:ascii="Times New Roman" w:hAnsi="Times New Roman" w:eastAsia="仿宋_GB2312" w:cs="Times New Roman"/>
                <w:color w:val="000000"/>
                <w:kern w:val="0"/>
                <w:sz w:val="24"/>
                <w:lang w:bidi="ar"/>
              </w:rPr>
              <w:t>管理制度；</w:t>
            </w:r>
          </w:p>
          <w:p>
            <w:pPr>
              <w:snapToGrid w:val="0"/>
              <w:jc w:val="left"/>
              <w:rPr>
                <w:rFonts w:hint="default" w:ascii="Times New Roman" w:hAnsi="Times New Roman" w:eastAsia="仿宋_GB2312" w:cs="Times New Roman"/>
                <w:sz w:val="24"/>
              </w:rPr>
            </w:pPr>
            <w:r>
              <w:rPr>
                <w:rFonts w:hint="default" w:ascii="Times New Roman" w:hAnsi="Times New Roman" w:eastAsia="仿宋_GB2312" w:cs="Times New Roman"/>
                <w:color w:val="000000"/>
                <w:kern w:val="0"/>
                <w:sz w:val="24"/>
                <w:lang w:bidi="ar"/>
              </w:rPr>
              <w:t>2.查看</w:t>
            </w:r>
            <w:r>
              <w:rPr>
                <w:rFonts w:hint="default" w:ascii="Times New Roman" w:hAnsi="Times New Roman" w:eastAsia="仿宋_GB2312" w:cs="Times New Roman"/>
                <w:sz w:val="24"/>
              </w:rPr>
              <w:t>发运</w:t>
            </w:r>
            <w:r>
              <w:rPr>
                <w:rFonts w:hint="default" w:ascii="Times New Roman" w:hAnsi="Times New Roman" w:eastAsia="仿宋_GB2312" w:cs="Times New Roman"/>
                <w:color w:val="000000"/>
                <w:kern w:val="0"/>
                <w:sz w:val="24"/>
                <w:lang w:bidi="ar"/>
              </w:rPr>
              <w:t>记录。</w:t>
            </w:r>
          </w:p>
        </w:tc>
      </w:tr>
      <w:tr>
        <w:tblPrEx>
          <w:tblCellMar>
            <w:top w:w="32" w:type="dxa"/>
            <w:left w:w="64" w:type="dxa"/>
            <w:bottom w:w="32" w:type="dxa"/>
            <w:right w:w="64" w:type="dxa"/>
          </w:tblCellMar>
        </w:tblPrEx>
        <w:trPr>
          <w:trHeight w:val="680" w:hRule="atLeast"/>
          <w:jc w:val="center"/>
        </w:trPr>
        <w:tc>
          <w:tcPr>
            <w:tcW w:w="1690" w:type="dxa"/>
            <w:vMerge w:val="continue"/>
            <w:tcBorders>
              <w:left w:val="single" w:color="000000" w:sz="4" w:space="0"/>
              <w:right w:val="single" w:color="000000" w:sz="4" w:space="0"/>
            </w:tcBorders>
            <w:shd w:val="clear" w:color="auto" w:fill="auto"/>
            <w:vAlign w:val="center"/>
          </w:tcPr>
          <w:p>
            <w:pPr>
              <w:snapToGrid w:val="0"/>
              <w:jc w:val="center"/>
              <w:rPr>
                <w:rFonts w:hint="default" w:ascii="Times New Roman" w:hAnsi="Times New Roman" w:eastAsia="仿宋_GB2312" w:cs="Times New Roman"/>
                <w:sz w:val="24"/>
              </w:rPr>
            </w:pP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bCs/>
                <w:sz w:val="24"/>
              </w:rPr>
              <w:t>购销管理</w:t>
            </w:r>
          </w:p>
        </w:tc>
        <w:tc>
          <w:tcPr>
            <w:tcW w:w="517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left"/>
              <w:rPr>
                <w:rFonts w:hint="default" w:ascii="Times New Roman" w:hAnsi="Times New Roman" w:eastAsia="仿宋_GB2312" w:cs="Times New Roman"/>
                <w:sz w:val="24"/>
              </w:rPr>
            </w:pPr>
            <w:r>
              <w:rPr>
                <w:rFonts w:hint="default" w:ascii="Times New Roman" w:hAnsi="Times New Roman" w:eastAsia="仿宋_GB2312" w:cs="Times New Roman"/>
                <w:color w:val="000000"/>
                <w:kern w:val="0"/>
                <w:sz w:val="24"/>
                <w:lang w:bidi="ar"/>
              </w:rPr>
              <w:t>查看中药材购进、销售台账以及相关合同与购销凭据。</w:t>
            </w:r>
          </w:p>
        </w:tc>
      </w:tr>
      <w:tr>
        <w:tblPrEx>
          <w:tblCellMar>
            <w:top w:w="32" w:type="dxa"/>
            <w:left w:w="64" w:type="dxa"/>
            <w:bottom w:w="32" w:type="dxa"/>
            <w:right w:w="64" w:type="dxa"/>
          </w:tblCellMar>
        </w:tblPrEx>
        <w:trPr>
          <w:trHeight w:val="680" w:hRule="atLeast"/>
          <w:jc w:val="center"/>
        </w:trPr>
        <w:tc>
          <w:tcPr>
            <w:tcW w:w="1690" w:type="dxa"/>
            <w:vMerge w:val="continue"/>
            <w:tcBorders>
              <w:left w:val="single" w:color="000000" w:sz="4" w:space="0"/>
              <w:right w:val="single" w:color="000000" w:sz="4" w:space="0"/>
            </w:tcBorders>
            <w:shd w:val="clear" w:color="auto" w:fill="auto"/>
            <w:vAlign w:val="center"/>
          </w:tcPr>
          <w:p>
            <w:pPr>
              <w:snapToGrid w:val="0"/>
              <w:jc w:val="center"/>
              <w:rPr>
                <w:rFonts w:hint="default" w:ascii="Times New Roman" w:hAnsi="Times New Roman" w:eastAsia="仿宋_GB2312" w:cs="Times New Roman"/>
                <w:sz w:val="24"/>
              </w:rPr>
            </w:pP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bCs/>
                <w:sz w:val="24"/>
              </w:rPr>
              <w:t>追溯管理</w:t>
            </w:r>
          </w:p>
        </w:tc>
        <w:tc>
          <w:tcPr>
            <w:tcW w:w="51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left"/>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1.查看</w:t>
            </w:r>
            <w:r>
              <w:rPr>
                <w:rFonts w:hint="default" w:ascii="Times New Roman" w:hAnsi="Times New Roman" w:eastAsia="仿宋_GB2312" w:cs="Times New Roman"/>
                <w:sz w:val="24"/>
              </w:rPr>
              <w:t>追溯</w:t>
            </w:r>
            <w:r>
              <w:rPr>
                <w:rFonts w:hint="default" w:ascii="Times New Roman" w:hAnsi="Times New Roman" w:eastAsia="仿宋_GB2312" w:cs="Times New Roman"/>
                <w:color w:val="000000"/>
                <w:kern w:val="0"/>
                <w:sz w:val="24"/>
                <w:lang w:bidi="ar"/>
              </w:rPr>
              <w:t>管理制度；</w:t>
            </w:r>
          </w:p>
          <w:p>
            <w:pPr>
              <w:widowControl/>
              <w:snapToGrid w:val="0"/>
              <w:jc w:val="left"/>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2.查看</w:t>
            </w:r>
            <w:r>
              <w:rPr>
                <w:rFonts w:hint="default" w:ascii="Times New Roman" w:hAnsi="Times New Roman" w:eastAsia="仿宋_GB2312" w:cs="Times New Roman"/>
                <w:sz w:val="24"/>
              </w:rPr>
              <w:t>相关</w:t>
            </w:r>
            <w:r>
              <w:rPr>
                <w:rFonts w:hint="default" w:ascii="Times New Roman" w:hAnsi="Times New Roman" w:eastAsia="仿宋_GB2312" w:cs="Times New Roman"/>
                <w:color w:val="000000"/>
                <w:kern w:val="0"/>
                <w:sz w:val="24"/>
                <w:lang w:bidi="ar"/>
              </w:rPr>
              <w:t>记录。</w:t>
            </w:r>
          </w:p>
        </w:tc>
      </w:tr>
      <w:tr>
        <w:tblPrEx>
          <w:tblCellMar>
            <w:top w:w="32" w:type="dxa"/>
            <w:left w:w="64" w:type="dxa"/>
            <w:bottom w:w="32" w:type="dxa"/>
            <w:right w:w="64" w:type="dxa"/>
          </w:tblCellMar>
        </w:tblPrEx>
        <w:trPr>
          <w:trHeight w:val="680" w:hRule="atLeast"/>
          <w:jc w:val="center"/>
        </w:trPr>
        <w:tc>
          <w:tcPr>
            <w:tcW w:w="1690" w:type="dxa"/>
            <w:vMerge w:val="continue"/>
            <w:tcBorders>
              <w:left w:val="single" w:color="000000" w:sz="4" w:space="0"/>
              <w:bottom w:val="single" w:color="000000" w:sz="4" w:space="0"/>
              <w:right w:val="single" w:color="000000" w:sz="4" w:space="0"/>
            </w:tcBorders>
            <w:shd w:val="clear" w:color="auto" w:fill="auto"/>
            <w:vAlign w:val="center"/>
          </w:tcPr>
          <w:p>
            <w:pPr>
              <w:snapToGrid w:val="0"/>
              <w:jc w:val="center"/>
              <w:rPr>
                <w:rFonts w:hint="default" w:ascii="Times New Roman" w:hAnsi="Times New Roman" w:eastAsia="仿宋_GB2312" w:cs="Times New Roman"/>
                <w:sz w:val="24"/>
              </w:rPr>
            </w:pP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default" w:ascii="Times New Roman" w:hAnsi="Times New Roman" w:eastAsia="仿宋_GB2312" w:cs="Times New Roman"/>
                <w:bCs/>
                <w:sz w:val="24"/>
              </w:rPr>
            </w:pPr>
            <w:bookmarkStart w:id="7" w:name="OLE_LINK21"/>
            <w:bookmarkStart w:id="8" w:name="OLE_LINK22"/>
            <w:r>
              <w:rPr>
                <w:rFonts w:hint="default" w:ascii="Times New Roman" w:hAnsi="Times New Roman" w:eastAsia="仿宋_GB2312" w:cs="Times New Roman"/>
                <w:bCs/>
                <w:sz w:val="24"/>
              </w:rPr>
              <w:t>资源供给保障</w:t>
            </w:r>
            <w:bookmarkEnd w:id="7"/>
            <w:bookmarkEnd w:id="8"/>
          </w:p>
        </w:tc>
        <w:tc>
          <w:tcPr>
            <w:tcW w:w="51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left"/>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1.查阅供货履约记录及应急保障能力；</w:t>
            </w:r>
          </w:p>
          <w:p>
            <w:pPr>
              <w:widowControl/>
              <w:snapToGrid w:val="0"/>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2.查看仓储能力。</w:t>
            </w:r>
          </w:p>
        </w:tc>
      </w:tr>
      <w:tr>
        <w:tblPrEx>
          <w:tblCellMar>
            <w:top w:w="32" w:type="dxa"/>
            <w:left w:w="64" w:type="dxa"/>
            <w:bottom w:w="32" w:type="dxa"/>
            <w:right w:w="64" w:type="dxa"/>
          </w:tblCellMar>
        </w:tblPrEx>
        <w:trPr>
          <w:trHeight w:val="680" w:hRule="atLeast"/>
          <w:jc w:val="center"/>
        </w:trPr>
        <w:tc>
          <w:tcPr>
            <w:tcW w:w="1690" w:type="dxa"/>
            <w:vMerge w:val="continue"/>
            <w:tcBorders>
              <w:left w:val="single" w:color="000000" w:sz="4" w:space="0"/>
              <w:bottom w:val="single" w:color="000000" w:sz="4" w:space="0"/>
              <w:right w:val="single" w:color="000000" w:sz="4" w:space="0"/>
            </w:tcBorders>
            <w:shd w:val="clear" w:color="auto" w:fill="auto"/>
            <w:vAlign w:val="center"/>
          </w:tcPr>
          <w:p>
            <w:pPr>
              <w:snapToGrid w:val="0"/>
              <w:jc w:val="center"/>
              <w:rPr>
                <w:rFonts w:hint="default" w:ascii="Times New Roman" w:hAnsi="Times New Roman" w:eastAsia="仿宋_GB2312" w:cs="Times New Roman"/>
                <w:sz w:val="24"/>
              </w:rPr>
            </w:pP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特殊管理要求</w:t>
            </w:r>
          </w:p>
        </w:tc>
        <w:tc>
          <w:tcPr>
            <w:tcW w:w="51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查看相关管理制度</w:t>
            </w:r>
          </w:p>
        </w:tc>
      </w:tr>
    </w:tbl>
    <w:p>
      <w:pPr>
        <w:rPr>
          <w:rFonts w:hint="default" w:ascii="Times New Roman" w:hAnsi="Times New Roman" w:eastAsia="方正小标宋简体" w:cs="Times New Roman"/>
          <w:sz w:val="36"/>
          <w:szCs w:val="36"/>
        </w:rPr>
      </w:pPr>
    </w:p>
    <w:p>
      <w:pPr>
        <w:keepNext w:val="0"/>
        <w:keepLines w:val="0"/>
        <w:pageBreakBefore w:val="0"/>
        <w:widowControl/>
        <w:kinsoku/>
        <w:wordWrap/>
        <w:overflowPunct/>
        <w:topLinePunct w:val="0"/>
        <w:autoSpaceDE/>
        <w:autoSpaceDN/>
        <w:bidi w:val="0"/>
        <w:adjustRightInd/>
        <w:snapToGrid/>
        <w:spacing w:line="560" w:lineRule="exact"/>
        <w:ind w:left="-360" w:firstLine="960" w:firstLineChars="300"/>
        <w:jc w:val="left"/>
        <w:textAlignment w:val="auto"/>
        <w:rPr>
          <w:rFonts w:hint="default" w:ascii="Times New Roman" w:hAnsi="Times New Roman" w:eastAsia="仿宋" w:cs="Times New Roman"/>
          <w:color w:val="1F2329"/>
          <w:sz w:val="32"/>
          <w:szCs w:val="32"/>
        </w:rPr>
        <w:sectPr>
          <w:footerReference r:id="rId4" w:type="default"/>
          <w:pgSz w:w="11906" w:h="16838"/>
          <w:pgMar w:top="1984" w:right="1531" w:bottom="1984" w:left="1531" w:header="851" w:footer="992" w:gutter="0"/>
          <w:pgNumType w:fmt="decimal"/>
          <w:cols w:space="425" w:num="1"/>
          <w:docGrid w:type="lines" w:linePitch="312" w:charSpace="0"/>
        </w:sectPr>
      </w:pPr>
    </w:p>
    <w:p>
      <w:pPr>
        <w:jc w:val="both"/>
        <w:rPr>
          <w:rFonts w:hint="default" w:ascii="Times New Roman" w:hAnsi="Times New Roman" w:eastAsia="黑体" w:cs="Times New Roman"/>
          <w:bCs/>
          <w:sz w:val="32"/>
          <w:szCs w:val="32"/>
          <w:lang w:val="en-US" w:eastAsia="zh-CN"/>
        </w:rPr>
      </w:pPr>
      <w:r>
        <w:rPr>
          <w:rFonts w:hint="default" w:ascii="Times New Roman" w:hAnsi="Times New Roman" w:eastAsia="黑体" w:cs="Times New Roman"/>
          <w:bCs/>
          <w:sz w:val="32"/>
          <w:szCs w:val="32"/>
          <w:lang w:val="en-US" w:eastAsia="zh-CN"/>
        </w:rPr>
        <w:t>附2</w:t>
      </w:r>
    </w:p>
    <w:p>
      <w:pPr>
        <w:jc w:val="center"/>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中药材供应商审核记录表</w:t>
      </w:r>
    </w:p>
    <w:p>
      <w:pPr>
        <w:jc w:val="center"/>
        <w:rPr>
          <w:rFonts w:hint="default" w:ascii="Times New Roman" w:hAnsi="Times New Roman" w:eastAsia="方正小标宋简体" w:cs="Times New Roman"/>
          <w:bCs/>
          <w:sz w:val="32"/>
          <w:szCs w:val="32"/>
        </w:rPr>
      </w:pPr>
      <w:r>
        <w:rPr>
          <w:rFonts w:hint="default" w:ascii="Times New Roman" w:hAnsi="Times New Roman" w:eastAsia="方正小标宋简体" w:cs="Times New Roman"/>
          <w:bCs/>
          <w:sz w:val="32"/>
          <w:szCs w:val="32"/>
        </w:rPr>
        <w:t>（</w:t>
      </w:r>
      <w:bookmarkStart w:id="9" w:name="OLE_LINK29"/>
      <w:bookmarkStart w:id="10" w:name="OLE_LINK28"/>
      <w:r>
        <w:rPr>
          <w:rFonts w:hint="default" w:ascii="Times New Roman" w:hAnsi="Times New Roman" w:eastAsia="楷体" w:cs="Times New Roman"/>
          <w:bCs/>
          <w:sz w:val="32"/>
          <w:szCs w:val="32"/>
        </w:rPr>
        <w:t>适用于</w:t>
      </w:r>
      <w:bookmarkEnd w:id="9"/>
      <w:bookmarkEnd w:id="10"/>
      <w:r>
        <w:rPr>
          <w:rFonts w:hint="default" w:ascii="Times New Roman" w:hAnsi="Times New Roman" w:eastAsia="楷体" w:cs="Times New Roman"/>
          <w:bCs/>
          <w:sz w:val="32"/>
          <w:szCs w:val="32"/>
        </w:rPr>
        <w:t>中药材生产企业</w:t>
      </w:r>
      <w:r>
        <w:rPr>
          <w:rFonts w:hint="default" w:ascii="Times New Roman" w:hAnsi="Times New Roman" w:eastAsia="方正小标宋简体" w:cs="Times New Roman"/>
          <w:bCs/>
          <w:sz w:val="32"/>
          <w:szCs w:val="32"/>
        </w:rPr>
        <w:t>）</w:t>
      </w:r>
    </w:p>
    <w:tbl>
      <w:tblPr>
        <w:tblStyle w:val="11"/>
        <w:tblpPr w:leftFromText="180" w:rightFromText="180" w:vertAnchor="text" w:horzAnchor="page" w:tblpX="1560" w:tblpY="34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3"/>
        <w:gridCol w:w="62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223" w:type="dxa"/>
            <w:tcBorders>
              <w:top w:val="nil"/>
              <w:left w:val="nil"/>
              <w:bottom w:val="nil"/>
              <w:right w:val="nil"/>
            </w:tcBorders>
            <w:vAlign w:val="top"/>
          </w:tcPr>
          <w:p>
            <w:pPr>
              <w:jc w:val="center"/>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供应商名称</w:t>
            </w:r>
          </w:p>
        </w:tc>
        <w:tc>
          <w:tcPr>
            <w:tcW w:w="6299" w:type="dxa"/>
            <w:tcBorders>
              <w:top w:val="nil"/>
              <w:left w:val="nil"/>
              <w:bottom w:val="nil"/>
              <w:right w:val="nil"/>
            </w:tcBorders>
            <w:vAlign w:val="top"/>
          </w:tcPr>
          <w:p>
            <w:pPr>
              <w:jc w:val="center"/>
              <w:rPr>
                <w:rFonts w:hint="default" w:ascii="Times New Roman" w:hAnsi="Times New Roman" w:eastAsia="仿宋_GB2312"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223" w:type="dxa"/>
            <w:tcBorders>
              <w:top w:val="nil"/>
              <w:left w:val="nil"/>
              <w:bottom w:val="nil"/>
              <w:right w:val="nil"/>
            </w:tcBorders>
            <w:vAlign w:val="top"/>
          </w:tcPr>
          <w:p>
            <w:pPr>
              <w:jc w:val="center"/>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地址</w:t>
            </w:r>
          </w:p>
        </w:tc>
        <w:tc>
          <w:tcPr>
            <w:tcW w:w="6299" w:type="dxa"/>
            <w:tcBorders>
              <w:top w:val="nil"/>
              <w:left w:val="nil"/>
              <w:bottom w:val="nil"/>
              <w:right w:val="nil"/>
            </w:tcBorders>
            <w:vAlign w:val="top"/>
          </w:tcPr>
          <w:p>
            <w:pPr>
              <w:jc w:val="center"/>
              <w:rPr>
                <w:rFonts w:hint="default" w:ascii="Times New Roman" w:hAnsi="Times New Roman" w:eastAsia="仿宋_GB2312"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223" w:type="dxa"/>
            <w:tcBorders>
              <w:top w:val="nil"/>
              <w:left w:val="nil"/>
              <w:bottom w:val="nil"/>
              <w:right w:val="nil"/>
            </w:tcBorders>
            <w:vAlign w:val="top"/>
          </w:tcPr>
          <w:p>
            <w:pPr>
              <w:jc w:val="center"/>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联系人</w:t>
            </w:r>
          </w:p>
        </w:tc>
        <w:tc>
          <w:tcPr>
            <w:tcW w:w="6299" w:type="dxa"/>
            <w:tcBorders>
              <w:top w:val="nil"/>
              <w:left w:val="nil"/>
              <w:bottom w:val="nil"/>
              <w:right w:val="nil"/>
            </w:tcBorders>
            <w:vAlign w:val="top"/>
          </w:tcPr>
          <w:p>
            <w:pPr>
              <w:jc w:val="center"/>
              <w:rPr>
                <w:rFonts w:hint="default" w:ascii="Times New Roman" w:hAnsi="Times New Roman" w:eastAsia="仿宋_GB2312"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exact"/>
        </w:trPr>
        <w:tc>
          <w:tcPr>
            <w:tcW w:w="2223" w:type="dxa"/>
            <w:tcBorders>
              <w:top w:val="nil"/>
              <w:left w:val="nil"/>
              <w:bottom w:val="nil"/>
              <w:right w:val="nil"/>
            </w:tcBorders>
            <w:vAlign w:val="top"/>
          </w:tcPr>
          <w:p>
            <w:pPr>
              <w:spacing w:line="400" w:lineRule="exact"/>
              <w:jc w:val="center"/>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中药材GAP符合性</w:t>
            </w:r>
          </w:p>
          <w:p>
            <w:pPr>
              <w:spacing w:line="400" w:lineRule="exact"/>
              <w:jc w:val="center"/>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延伸检查情况</w:t>
            </w:r>
          </w:p>
        </w:tc>
        <w:tc>
          <w:tcPr>
            <w:tcW w:w="6299" w:type="dxa"/>
            <w:tcBorders>
              <w:top w:val="nil"/>
              <w:left w:val="nil"/>
              <w:bottom w:val="nil"/>
              <w:right w:val="nil"/>
            </w:tcBorders>
            <w:vAlign w:val="top"/>
          </w:tcPr>
          <w:p>
            <w:pPr>
              <w:jc w:val="both"/>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xml:space="preserve">是□    </w:t>
            </w:r>
            <w:r>
              <w:rPr>
                <w:rFonts w:hint="eastAsia" w:ascii="Times New Roman" w:hAnsi="Times New Roman" w:eastAsia="仿宋_GB2312" w:cs="Times New Roman"/>
                <w:bCs/>
                <w:sz w:val="28"/>
                <w:szCs w:val="28"/>
                <w:lang w:eastAsia="zh-CN"/>
              </w:rPr>
              <w:t>延伸检查时间</w:t>
            </w:r>
            <w:r>
              <w:rPr>
                <w:rFonts w:hint="default" w:ascii="Times New Roman" w:hAnsi="Times New Roman" w:eastAsia="仿宋_GB2312" w:cs="Times New Roman"/>
                <w:bCs/>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223" w:type="dxa"/>
            <w:tcBorders>
              <w:top w:val="nil"/>
              <w:left w:val="nil"/>
              <w:bottom w:val="nil"/>
              <w:right w:val="nil"/>
            </w:tcBorders>
            <w:vAlign w:val="top"/>
          </w:tcPr>
          <w:p>
            <w:pPr>
              <w:jc w:val="center"/>
              <w:rPr>
                <w:rFonts w:hint="default" w:ascii="Times New Roman" w:hAnsi="Times New Roman" w:eastAsia="仿宋_GB2312" w:cs="Times New Roman"/>
                <w:bCs/>
                <w:sz w:val="28"/>
                <w:szCs w:val="28"/>
                <w:highlight w:val="yellow"/>
              </w:rPr>
            </w:pPr>
            <w:r>
              <w:rPr>
                <w:rFonts w:hint="default" w:ascii="Times New Roman" w:hAnsi="Times New Roman" w:eastAsia="仿宋_GB2312" w:cs="Times New Roman"/>
                <w:bCs/>
                <w:sz w:val="28"/>
                <w:szCs w:val="28"/>
              </w:rPr>
              <w:t>产地加工企业</w:t>
            </w:r>
          </w:p>
        </w:tc>
        <w:tc>
          <w:tcPr>
            <w:tcW w:w="6299" w:type="dxa"/>
            <w:tcBorders>
              <w:top w:val="nil"/>
              <w:left w:val="nil"/>
              <w:bottom w:val="nil"/>
              <w:right w:val="nil"/>
            </w:tcBorders>
            <w:vAlign w:val="top"/>
          </w:tcPr>
          <w:p>
            <w:pPr>
              <w:jc w:val="both"/>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xml:space="preserve">是□   </w:t>
            </w:r>
            <w:r>
              <w:rPr>
                <w:rFonts w:hint="eastAsia" w:ascii="Times New Roman" w:hAnsi="Times New Roman" w:eastAsia="仿宋_GB2312" w:cs="Times New Roman"/>
                <w:bCs/>
                <w:sz w:val="28"/>
                <w:szCs w:val="28"/>
                <w:lang w:eastAsia="zh-CN"/>
              </w:rPr>
              <w:t>产地加工</w:t>
            </w:r>
            <w:r>
              <w:rPr>
                <w:rFonts w:hint="default" w:ascii="Times New Roman" w:hAnsi="Times New Roman" w:eastAsia="仿宋_GB2312" w:cs="Times New Roman"/>
                <w:sz w:val="28"/>
                <w:szCs w:val="28"/>
              </w:rPr>
              <w:t>品种</w:t>
            </w:r>
            <w:r>
              <w:rPr>
                <w:rFonts w:hint="default" w:ascii="Times New Roman" w:hAnsi="Times New Roman" w:eastAsia="仿宋_GB2312" w:cs="Times New Roman"/>
                <w:bCs/>
                <w:sz w:val="28"/>
                <w:szCs w:val="28"/>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9" w:hRule="exact"/>
        </w:trPr>
        <w:tc>
          <w:tcPr>
            <w:tcW w:w="2223" w:type="dxa"/>
            <w:tcBorders>
              <w:top w:val="nil"/>
              <w:left w:val="nil"/>
              <w:bottom w:val="nil"/>
              <w:right w:val="nil"/>
            </w:tcBorders>
            <w:vAlign w:val="top"/>
          </w:tcPr>
          <w:p>
            <w:pPr>
              <w:jc w:val="center"/>
              <w:rPr>
                <w:rFonts w:hint="eastAsia" w:ascii="Times New Roman" w:hAnsi="Times New Roman" w:eastAsia="仿宋_GB2312" w:cs="Times New Roman"/>
                <w:bCs/>
                <w:sz w:val="28"/>
                <w:szCs w:val="28"/>
                <w:lang w:eastAsia="zh-CN"/>
              </w:rPr>
            </w:pPr>
            <w:r>
              <w:rPr>
                <w:rFonts w:hint="eastAsia" w:ascii="Times New Roman" w:hAnsi="Times New Roman" w:eastAsia="仿宋_GB2312" w:cs="Times New Roman"/>
                <w:bCs/>
                <w:sz w:val="28"/>
                <w:szCs w:val="28"/>
                <w:lang w:eastAsia="zh-CN"/>
              </w:rPr>
              <w:t>普通中药材生产企业</w:t>
            </w:r>
          </w:p>
        </w:tc>
        <w:tc>
          <w:tcPr>
            <w:tcW w:w="6299" w:type="dxa"/>
            <w:tcBorders>
              <w:top w:val="nil"/>
              <w:left w:val="nil"/>
              <w:bottom w:val="nil"/>
              <w:right w:val="nil"/>
            </w:tcBorders>
            <w:vAlign w:val="top"/>
          </w:tcPr>
          <w:p>
            <w:pPr>
              <w:jc w:val="both"/>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是□</w:t>
            </w:r>
          </w:p>
          <w:p>
            <w:pPr>
              <w:jc w:val="both"/>
              <w:rPr>
                <w:rFonts w:hint="default" w:ascii="Times New Roman" w:hAnsi="Times New Roman" w:eastAsia="仿宋_GB2312" w:cs="Times New Roman"/>
                <w:bCs/>
                <w:sz w:val="28"/>
                <w:szCs w:val="28"/>
              </w:rPr>
            </w:pPr>
            <w:r>
              <w:rPr>
                <w:rFonts w:hint="eastAsia" w:ascii="Times New Roman" w:hAnsi="Times New Roman" w:eastAsia="仿宋_GB2312" w:cs="Times New Roman"/>
                <w:bCs/>
                <w:sz w:val="28"/>
                <w:szCs w:val="28"/>
                <w:lang w:eastAsia="zh-CN"/>
              </w:rPr>
              <w:t>中药材来源渠道：自行组织种植养殖</w:t>
            </w:r>
            <w:r>
              <w:rPr>
                <w:rFonts w:hint="default" w:ascii="Times New Roman" w:hAnsi="Times New Roman" w:eastAsia="仿宋_GB2312" w:cs="Times New Roman"/>
                <w:bCs/>
                <w:sz w:val="28"/>
                <w:szCs w:val="28"/>
              </w:rPr>
              <w:t>□</w:t>
            </w:r>
          </w:p>
          <w:p>
            <w:pPr>
              <w:jc w:val="both"/>
              <w:rPr>
                <w:rFonts w:hint="default" w:ascii="Times New Roman" w:hAnsi="Times New Roman" w:eastAsia="仿宋_GB2312" w:cs="Times New Roman"/>
                <w:bCs/>
                <w:sz w:val="28"/>
                <w:szCs w:val="28"/>
                <w:lang w:val="en-US" w:eastAsia="zh-CN"/>
              </w:rPr>
            </w:pPr>
            <w:r>
              <w:rPr>
                <w:rFonts w:hint="eastAsia" w:ascii="Times New Roman" w:hAnsi="Times New Roman" w:eastAsia="仿宋_GB2312" w:cs="Times New Roman"/>
                <w:bCs/>
                <w:sz w:val="28"/>
                <w:szCs w:val="28"/>
                <w:lang w:val="en-US" w:eastAsia="zh-CN"/>
              </w:rPr>
              <w:t xml:space="preserve">                产地收购</w:t>
            </w:r>
            <w:r>
              <w:rPr>
                <w:rFonts w:hint="default" w:ascii="Times New Roman" w:hAnsi="Times New Roman" w:eastAsia="仿宋_GB2312" w:cs="Times New Roman"/>
                <w:bCs/>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223" w:type="dxa"/>
            <w:tcBorders>
              <w:top w:val="nil"/>
              <w:left w:val="nil"/>
              <w:bottom w:val="nil"/>
              <w:right w:val="nil"/>
            </w:tcBorders>
            <w:shd w:val="clear" w:color="auto" w:fill="auto"/>
            <w:vAlign w:val="top"/>
          </w:tcPr>
          <w:p>
            <w:pPr>
              <w:jc w:val="center"/>
              <w:rPr>
                <w:rFonts w:hint="default" w:ascii="Times New Roman" w:hAnsi="Times New Roman" w:eastAsia="仿宋_GB2312" w:cs="Times New Roman"/>
                <w:bCs/>
                <w:sz w:val="28"/>
                <w:szCs w:val="28"/>
                <w:lang w:val="en"/>
              </w:rPr>
            </w:pPr>
            <w:r>
              <w:rPr>
                <w:rFonts w:hint="default" w:ascii="Times New Roman" w:hAnsi="Times New Roman" w:eastAsia="仿宋_GB2312" w:cs="Times New Roman"/>
                <w:bCs/>
                <w:sz w:val="28"/>
                <w:szCs w:val="28"/>
              </w:rPr>
              <w:t>中药</w:t>
            </w:r>
            <w:r>
              <w:rPr>
                <w:rFonts w:hint="eastAsia" w:ascii="Times New Roman" w:hAnsi="Times New Roman" w:eastAsia="仿宋_GB2312" w:cs="Times New Roman"/>
                <w:bCs/>
                <w:sz w:val="28"/>
                <w:szCs w:val="28"/>
                <w:lang w:eastAsia="zh-CN"/>
              </w:rPr>
              <w:t>材名称</w:t>
            </w:r>
          </w:p>
        </w:tc>
        <w:tc>
          <w:tcPr>
            <w:tcW w:w="6299" w:type="dxa"/>
            <w:tcBorders>
              <w:top w:val="nil"/>
              <w:left w:val="nil"/>
              <w:bottom w:val="nil"/>
              <w:right w:val="nil"/>
            </w:tcBorders>
            <w:shd w:val="clear" w:color="auto" w:fill="auto"/>
            <w:vAlign w:val="top"/>
          </w:tcPr>
          <w:p>
            <w:pPr>
              <w:jc w:val="center"/>
              <w:rPr>
                <w:rFonts w:hint="default" w:ascii="Times New Roman" w:hAnsi="Times New Roman" w:eastAsia="仿宋_GB2312" w:cs="Times New Roman"/>
                <w:bCs/>
                <w:sz w:val="28"/>
                <w:szCs w:val="28"/>
              </w:rPr>
            </w:pPr>
            <w:r>
              <w:rPr>
                <w:rFonts w:hint="eastAsia" w:ascii="Times New Roman" w:hAnsi="Times New Roman" w:eastAsia="仿宋_GB2312" w:cs="Times New Roman"/>
                <w:bCs/>
                <w:sz w:val="28"/>
                <w:szCs w:val="28"/>
                <w:lang w:eastAsia="zh-CN"/>
              </w:rPr>
              <w:t>（可以多个品种一并审核）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223" w:type="dxa"/>
            <w:tcBorders>
              <w:top w:val="nil"/>
              <w:left w:val="nil"/>
              <w:bottom w:val="nil"/>
              <w:right w:val="nil"/>
            </w:tcBorders>
            <w:shd w:val="clear" w:color="auto" w:fill="auto"/>
            <w:vAlign w:val="top"/>
          </w:tcPr>
          <w:p>
            <w:pPr>
              <w:jc w:val="center"/>
              <w:rPr>
                <w:rFonts w:hint="default" w:ascii="Times New Roman" w:hAnsi="Times New Roman" w:eastAsia="仿宋_GB2312" w:cs="Times New Roman"/>
                <w:bCs/>
                <w:sz w:val="28"/>
                <w:szCs w:val="28"/>
              </w:rPr>
            </w:pPr>
            <w:bookmarkStart w:id="11" w:name="_Hlk227844148"/>
            <w:r>
              <w:rPr>
                <w:rFonts w:hint="default" w:ascii="Times New Roman" w:hAnsi="Times New Roman" w:eastAsia="仿宋_GB2312" w:cs="Times New Roman"/>
                <w:bCs/>
                <w:sz w:val="28"/>
                <w:szCs w:val="28"/>
              </w:rPr>
              <w:t>审核人员</w:t>
            </w:r>
          </w:p>
        </w:tc>
        <w:tc>
          <w:tcPr>
            <w:tcW w:w="6299" w:type="dxa"/>
            <w:tcBorders>
              <w:top w:val="nil"/>
              <w:left w:val="nil"/>
              <w:bottom w:val="nil"/>
              <w:right w:val="nil"/>
            </w:tcBorders>
            <w:shd w:val="clear" w:color="auto" w:fill="auto"/>
            <w:vAlign w:val="top"/>
          </w:tcPr>
          <w:p>
            <w:pPr>
              <w:jc w:val="center"/>
              <w:rPr>
                <w:rFonts w:hint="default" w:ascii="Times New Roman" w:hAnsi="Times New Roman" w:eastAsia="仿宋_GB2312"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exact"/>
        </w:trPr>
        <w:tc>
          <w:tcPr>
            <w:tcW w:w="2223" w:type="dxa"/>
            <w:vMerge w:val="restart"/>
            <w:tcBorders>
              <w:top w:val="nil"/>
              <w:left w:val="nil"/>
              <w:right w:val="nil"/>
            </w:tcBorders>
            <w:shd w:val="clear" w:color="auto" w:fill="auto"/>
            <w:vAlign w:val="center"/>
          </w:tcPr>
          <w:p>
            <w:pPr>
              <w:ind w:firstLine="0" w:firstLineChars="0"/>
              <w:jc w:val="both"/>
              <w:rPr>
                <w:rFonts w:hint="eastAsia" w:ascii="Times New Roman" w:hAnsi="Times New Roman" w:eastAsia="仿宋_GB2312" w:cs="Times New Roman"/>
                <w:bCs/>
                <w:sz w:val="28"/>
                <w:szCs w:val="28"/>
                <w:lang w:eastAsia="zh-CN"/>
              </w:rPr>
            </w:pPr>
            <w:r>
              <w:rPr>
                <w:rFonts w:hint="default" w:ascii="Times New Roman" w:hAnsi="Times New Roman" w:eastAsia="仿宋_GB2312" w:cs="Times New Roman"/>
                <w:bCs/>
                <w:sz w:val="28"/>
                <w:szCs w:val="28"/>
              </w:rPr>
              <w:t>审核类型</w:t>
            </w:r>
          </w:p>
        </w:tc>
        <w:tc>
          <w:tcPr>
            <w:tcW w:w="6299" w:type="dxa"/>
            <w:tcBorders>
              <w:top w:val="nil"/>
              <w:left w:val="nil"/>
              <w:bottom w:val="nil"/>
              <w:right w:val="nil"/>
            </w:tcBorders>
            <w:shd w:val="clear" w:color="auto" w:fill="auto"/>
            <w:vAlign w:val="top"/>
          </w:tcPr>
          <w:p>
            <w:pPr>
              <w:jc w:val="both"/>
              <w:rPr>
                <w:rFonts w:hint="default" w:ascii="Times New Roman" w:hAnsi="Times New Roman" w:eastAsia="仿宋_GB2312" w:cs="Times New Roman"/>
                <w:bCs/>
                <w:sz w:val="28"/>
                <w:szCs w:val="28"/>
                <w:lang w:val="en-US" w:eastAsia="zh-CN"/>
              </w:rPr>
            </w:pPr>
            <w:r>
              <w:rPr>
                <w:rFonts w:hint="eastAsia" w:ascii="Times New Roman" w:hAnsi="Times New Roman" w:eastAsia="仿宋_GB2312" w:cs="Times New Roman"/>
                <w:bCs/>
                <w:sz w:val="28"/>
                <w:szCs w:val="28"/>
                <w:lang w:eastAsia="zh-CN"/>
              </w:rPr>
              <w:t>常规审核：首次审核</w:t>
            </w:r>
            <w:r>
              <w:rPr>
                <w:rFonts w:hint="default" w:ascii="Times New Roman" w:hAnsi="Times New Roman" w:eastAsia="仿宋_GB2312" w:cs="Times New Roman"/>
                <w:bCs/>
                <w:sz w:val="28"/>
                <w:szCs w:val="28"/>
              </w:rPr>
              <w:t xml:space="preserve"> □</w:t>
            </w:r>
            <w:r>
              <w:rPr>
                <w:rFonts w:hint="eastAsia" w:ascii="Times New Roman" w:hAnsi="Times New Roman" w:eastAsia="仿宋_GB2312" w:cs="Times New Roman"/>
                <w:bCs/>
                <w:sz w:val="28"/>
                <w:szCs w:val="28"/>
                <w:lang w:val="en-US" w:eastAsia="zh-CN"/>
              </w:rPr>
              <w:t xml:space="preserve">   定期审核</w:t>
            </w:r>
            <w:r>
              <w:rPr>
                <w:rFonts w:hint="default" w:ascii="Times New Roman" w:hAnsi="Times New Roman" w:eastAsia="仿宋_GB2312" w:cs="Times New Roman"/>
                <w:bCs/>
                <w:sz w:val="28"/>
                <w:szCs w:val="28"/>
              </w:rPr>
              <w:t>□</w:t>
            </w:r>
          </w:p>
          <w:p>
            <w:pPr>
              <w:jc w:val="both"/>
              <w:rPr>
                <w:rFonts w:hint="eastAsia" w:ascii="Times New Roman" w:hAnsi="Times New Roman" w:eastAsia="仿宋_GB2312" w:cs="Times New Roman"/>
                <w:bCs/>
                <w:sz w:val="28"/>
                <w:szCs w:val="28"/>
                <w:lang w:eastAsia="zh-CN"/>
              </w:rPr>
            </w:pPr>
            <w:r>
              <w:rPr>
                <w:rFonts w:hint="eastAsia" w:ascii="Times New Roman" w:hAnsi="Times New Roman" w:eastAsia="仿宋_GB2312" w:cs="Times New Roman"/>
                <w:bCs/>
                <w:sz w:val="28"/>
                <w:szCs w:val="28"/>
                <w:lang w:eastAsia="zh-CN"/>
              </w:rPr>
              <w:t>有因审核</w:t>
            </w:r>
            <w:r>
              <w:rPr>
                <w:rFonts w:hint="default" w:ascii="Times New Roman" w:hAnsi="Times New Roman" w:eastAsia="仿宋_GB2312" w:cs="Times New Roman"/>
                <w:bCs/>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223" w:type="dxa"/>
            <w:vMerge w:val="continue"/>
            <w:tcBorders>
              <w:left w:val="nil"/>
              <w:bottom w:val="nil"/>
              <w:right w:val="nil"/>
            </w:tcBorders>
            <w:shd w:val="clear" w:color="auto" w:fill="auto"/>
            <w:vAlign w:val="top"/>
          </w:tcPr>
          <w:p>
            <w:pPr>
              <w:jc w:val="center"/>
              <w:rPr>
                <w:rFonts w:hint="eastAsia" w:ascii="Times New Roman" w:hAnsi="Times New Roman" w:eastAsia="仿宋_GB2312" w:cs="Times New Roman"/>
                <w:bCs/>
                <w:sz w:val="28"/>
                <w:szCs w:val="28"/>
                <w:lang w:eastAsia="zh-CN"/>
              </w:rPr>
            </w:pPr>
          </w:p>
        </w:tc>
        <w:tc>
          <w:tcPr>
            <w:tcW w:w="6299" w:type="dxa"/>
            <w:tcBorders>
              <w:top w:val="nil"/>
              <w:left w:val="nil"/>
              <w:bottom w:val="nil"/>
              <w:right w:val="nil"/>
            </w:tcBorders>
            <w:shd w:val="clear" w:color="auto" w:fill="auto"/>
            <w:vAlign w:val="top"/>
          </w:tcPr>
          <w:p>
            <w:pPr>
              <w:jc w:val="both"/>
              <w:rPr>
                <w:rFonts w:hint="default" w:ascii="Times New Roman" w:hAnsi="Times New Roman" w:eastAsia="仿宋_GB2312" w:cs="Times New Roman"/>
                <w:bCs/>
                <w:sz w:val="28"/>
                <w:szCs w:val="28"/>
                <w:lang w:val="en-US" w:eastAsia="zh-CN"/>
              </w:rPr>
            </w:pPr>
            <w:r>
              <w:rPr>
                <w:rFonts w:hint="eastAsia" w:ascii="Times New Roman" w:hAnsi="Times New Roman" w:eastAsia="仿宋_GB2312" w:cs="Times New Roman"/>
                <w:bCs/>
                <w:sz w:val="28"/>
                <w:szCs w:val="28"/>
                <w:lang w:eastAsia="zh-CN"/>
              </w:rPr>
              <w:t>是否现场审核</w:t>
            </w:r>
            <w:r>
              <w:rPr>
                <w:rFonts w:hint="eastAsia" w:ascii="Times New Roman" w:hAnsi="Times New Roman" w:eastAsia="仿宋_GB2312" w:cs="Times New Roman"/>
                <w:bCs/>
                <w:sz w:val="28"/>
                <w:szCs w:val="28"/>
                <w:lang w:val="en-US" w:eastAsia="zh-CN"/>
              </w:rPr>
              <w:t xml:space="preserve">   是</w:t>
            </w:r>
            <w:r>
              <w:rPr>
                <w:rFonts w:hint="default" w:ascii="Times New Roman" w:hAnsi="Times New Roman" w:eastAsia="仿宋_GB2312" w:cs="Times New Roman"/>
                <w:bCs/>
                <w:sz w:val="28"/>
                <w:szCs w:val="28"/>
              </w:rPr>
              <w:t xml:space="preserve">□ </w:t>
            </w:r>
            <w:r>
              <w:rPr>
                <w:rFonts w:hint="eastAsia" w:ascii="Times New Roman" w:hAnsi="Times New Roman" w:eastAsia="仿宋_GB2312" w:cs="Times New Roman"/>
                <w:bCs/>
                <w:sz w:val="28"/>
                <w:szCs w:val="28"/>
                <w:lang w:val="en-US" w:eastAsia="zh-CN"/>
              </w:rPr>
              <w:t xml:space="preserve"> 否</w:t>
            </w:r>
            <w:r>
              <w:rPr>
                <w:rFonts w:hint="default" w:ascii="Times New Roman" w:hAnsi="Times New Roman" w:eastAsia="仿宋_GB2312" w:cs="Times New Roman"/>
                <w:bCs/>
                <w:sz w:val="28"/>
                <w:szCs w:val="28"/>
              </w:rPr>
              <w:t xml:space="preserve">□ </w:t>
            </w:r>
          </w:p>
        </w:tc>
      </w:tr>
      <w:bookmarkEnd w:id="1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exact"/>
        </w:trPr>
        <w:tc>
          <w:tcPr>
            <w:tcW w:w="2223" w:type="dxa"/>
            <w:tcBorders>
              <w:top w:val="nil"/>
              <w:left w:val="nil"/>
              <w:bottom w:val="nil"/>
              <w:right w:val="nil"/>
            </w:tcBorders>
            <w:shd w:val="clear" w:color="auto" w:fill="auto"/>
            <w:vAlign w:val="top"/>
          </w:tcPr>
          <w:p>
            <w:pPr>
              <w:jc w:val="center"/>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审核时间</w:t>
            </w:r>
          </w:p>
        </w:tc>
        <w:tc>
          <w:tcPr>
            <w:tcW w:w="6299" w:type="dxa"/>
            <w:tcBorders>
              <w:top w:val="nil"/>
              <w:left w:val="nil"/>
              <w:bottom w:val="nil"/>
              <w:right w:val="nil"/>
            </w:tcBorders>
            <w:shd w:val="clear" w:color="auto" w:fill="auto"/>
            <w:vAlign w:val="top"/>
          </w:tcPr>
          <w:p>
            <w:pPr>
              <w:ind w:firstLine="840" w:firstLineChars="300"/>
              <w:jc w:val="both"/>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xml:space="preserve"> 年    月    日至    年    月    日</w:t>
            </w:r>
          </w:p>
        </w:tc>
      </w:tr>
    </w:tbl>
    <w:p>
      <w:pPr>
        <w:jc w:val="center"/>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br w:type="page"/>
      </w:r>
    </w:p>
    <w:tbl>
      <w:tblPr>
        <w:tblStyle w:val="11"/>
        <w:tblW w:w="8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2" w:type="dxa"/>
          <w:left w:w="64" w:type="dxa"/>
          <w:bottom w:w="32" w:type="dxa"/>
          <w:right w:w="64" w:type="dxa"/>
        </w:tblCellMar>
      </w:tblPr>
      <w:tblGrid>
        <w:gridCol w:w="763"/>
        <w:gridCol w:w="1478"/>
        <w:gridCol w:w="750"/>
        <w:gridCol w:w="3450"/>
        <w:gridCol w:w="1551"/>
        <w:gridCol w:w="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gridAfter w:val="1"/>
          <w:wAfter w:w="66" w:type="dxa"/>
          <w:tblHeader/>
          <w:jc w:val="center"/>
        </w:trPr>
        <w:tc>
          <w:tcPr>
            <w:tcW w:w="763" w:type="dxa"/>
            <w:shd w:val="clear" w:color="auto" w:fill="BEBEBE" w:themeFill="background1" w:themeFillShade="BF"/>
            <w:vAlign w:val="center"/>
          </w:tcPr>
          <w:p>
            <w:pPr>
              <w:snapToGrid w:val="0"/>
              <w:jc w:val="center"/>
              <w:rPr>
                <w:rFonts w:hint="default" w:ascii="Times New Roman" w:hAnsi="Times New Roman" w:eastAsia="黑体" w:cs="Times New Roman"/>
                <w:b/>
                <w:sz w:val="24"/>
                <w:szCs w:val="24"/>
              </w:rPr>
            </w:pPr>
            <w:r>
              <w:rPr>
                <w:rFonts w:hint="default" w:ascii="Times New Roman" w:hAnsi="Times New Roman" w:eastAsia="黑体" w:cs="Times New Roman"/>
                <w:b/>
                <w:sz w:val="24"/>
                <w:szCs w:val="24"/>
              </w:rPr>
              <w:t>序号</w:t>
            </w:r>
          </w:p>
        </w:tc>
        <w:tc>
          <w:tcPr>
            <w:tcW w:w="1478" w:type="dxa"/>
            <w:shd w:val="clear" w:color="auto" w:fill="BEBEBE" w:themeFill="background1" w:themeFillShade="BF"/>
            <w:vAlign w:val="center"/>
          </w:tcPr>
          <w:p>
            <w:pPr>
              <w:snapToGrid w:val="0"/>
              <w:jc w:val="center"/>
              <w:rPr>
                <w:rFonts w:hint="default" w:ascii="Times New Roman" w:hAnsi="Times New Roman" w:eastAsia="黑体" w:cs="Times New Roman"/>
                <w:b/>
                <w:sz w:val="24"/>
                <w:szCs w:val="24"/>
              </w:rPr>
            </w:pPr>
            <w:r>
              <w:rPr>
                <w:rFonts w:hint="default" w:ascii="Times New Roman" w:hAnsi="Times New Roman" w:eastAsia="黑体" w:cs="Times New Roman"/>
                <w:b/>
                <w:sz w:val="24"/>
                <w:szCs w:val="24"/>
              </w:rPr>
              <w:t>审核项</w:t>
            </w:r>
          </w:p>
        </w:tc>
        <w:tc>
          <w:tcPr>
            <w:tcW w:w="4200" w:type="dxa"/>
            <w:gridSpan w:val="2"/>
            <w:shd w:val="clear" w:color="auto" w:fill="BEBEBE" w:themeFill="background1" w:themeFillShade="BF"/>
            <w:vAlign w:val="center"/>
          </w:tcPr>
          <w:p>
            <w:pPr>
              <w:snapToGrid w:val="0"/>
              <w:jc w:val="center"/>
              <w:rPr>
                <w:rFonts w:hint="default" w:ascii="Times New Roman" w:hAnsi="Times New Roman" w:eastAsia="黑体" w:cs="Times New Roman"/>
                <w:b/>
                <w:sz w:val="24"/>
                <w:szCs w:val="24"/>
              </w:rPr>
            </w:pPr>
            <w:r>
              <w:rPr>
                <w:rFonts w:hint="default" w:ascii="Times New Roman" w:hAnsi="Times New Roman" w:eastAsia="黑体" w:cs="Times New Roman"/>
                <w:b/>
                <w:sz w:val="24"/>
                <w:szCs w:val="24"/>
              </w:rPr>
              <w:t>审核内容</w:t>
            </w:r>
          </w:p>
        </w:tc>
        <w:tc>
          <w:tcPr>
            <w:tcW w:w="1551" w:type="dxa"/>
            <w:shd w:val="clear" w:color="auto" w:fill="BEBEBE" w:themeFill="background1" w:themeFillShade="BF"/>
            <w:vAlign w:val="center"/>
          </w:tcPr>
          <w:p>
            <w:pPr>
              <w:snapToGrid w:val="0"/>
              <w:jc w:val="center"/>
              <w:rPr>
                <w:rFonts w:hint="default" w:ascii="Times New Roman" w:hAnsi="Times New Roman" w:eastAsia="黑体" w:cs="Times New Roman"/>
                <w:b/>
                <w:sz w:val="24"/>
                <w:szCs w:val="24"/>
              </w:rPr>
            </w:pPr>
            <w:r>
              <w:rPr>
                <w:rFonts w:hint="default" w:ascii="Times New Roman" w:hAnsi="Times New Roman" w:eastAsia="黑体" w:cs="Times New Roman"/>
                <w:b/>
                <w:sz w:val="24"/>
                <w:szCs w:val="24"/>
              </w:rPr>
              <w:t>审核情况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gridAfter w:val="1"/>
          <w:wAfter w:w="66" w:type="dxa"/>
          <w:jc w:val="center"/>
        </w:trPr>
        <w:tc>
          <w:tcPr>
            <w:tcW w:w="763" w:type="dxa"/>
            <w:shd w:val="clear" w:color="auto" w:fill="auto"/>
            <w:vAlign w:val="center"/>
          </w:tcPr>
          <w:p>
            <w:pPr>
              <w:snapToGrid w:val="0"/>
              <w:jc w:val="center"/>
              <w:rPr>
                <w:rFonts w:hint="eastAsia" w:ascii="Times New Roman" w:hAnsi="Times New Roman" w:eastAsia="仿宋_GB2312" w:cs="Times New Roman"/>
                <w:bCs/>
                <w:sz w:val="24"/>
                <w:lang w:val="en-US" w:eastAsia="zh-CN"/>
              </w:rPr>
            </w:pPr>
            <w:r>
              <w:rPr>
                <w:rFonts w:hint="eastAsia" w:ascii="Times New Roman" w:hAnsi="Times New Roman" w:eastAsia="仿宋_GB2312" w:cs="Times New Roman"/>
                <w:bCs/>
                <w:sz w:val="24"/>
                <w:lang w:val="en-US" w:eastAsia="zh-CN"/>
              </w:rPr>
              <w:t>1</w:t>
            </w:r>
          </w:p>
        </w:tc>
        <w:tc>
          <w:tcPr>
            <w:tcW w:w="1478" w:type="dxa"/>
            <w:shd w:val="clear" w:color="auto" w:fill="auto"/>
            <w:vAlign w:val="center"/>
          </w:tcPr>
          <w:p>
            <w:pPr>
              <w:snapToGrid w:val="0"/>
              <w:spacing w:line="360" w:lineRule="exact"/>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bCs/>
                <w:sz w:val="24"/>
              </w:rPr>
              <w:t>资质证明</w:t>
            </w:r>
          </w:p>
        </w:tc>
        <w:tc>
          <w:tcPr>
            <w:tcW w:w="4200" w:type="dxa"/>
            <w:gridSpan w:val="2"/>
            <w:shd w:val="clear" w:color="auto" w:fill="auto"/>
            <w:vAlign w:val="center"/>
          </w:tcPr>
          <w:p>
            <w:pPr>
              <w:snapToGrid w:val="0"/>
              <w:spacing w:line="360" w:lineRule="exact"/>
              <w:jc w:val="left"/>
              <w:rPr>
                <w:rFonts w:hint="default" w:ascii="Times New Roman" w:hAnsi="Times New Roman" w:eastAsia="仿宋_GB2312" w:cs="Times New Roman"/>
                <w:bCs/>
                <w:sz w:val="24"/>
              </w:rPr>
            </w:pPr>
            <w:r>
              <w:rPr>
                <w:rFonts w:hint="eastAsia" w:ascii="Times New Roman" w:hAnsi="Times New Roman" w:eastAsia="仿宋_GB2312" w:cs="Times New Roman"/>
                <w:bCs/>
                <w:sz w:val="24"/>
                <w:lang w:eastAsia="zh-CN"/>
              </w:rPr>
              <w:t>中药材生产</w:t>
            </w:r>
            <w:r>
              <w:rPr>
                <w:rFonts w:hint="default" w:ascii="Times New Roman" w:hAnsi="Times New Roman" w:eastAsia="仿宋_GB2312" w:cs="Times New Roman"/>
                <w:bCs/>
                <w:sz w:val="24"/>
              </w:rPr>
              <w:t>企业营业执照</w:t>
            </w:r>
            <w:r>
              <w:rPr>
                <w:rFonts w:hint="eastAsia" w:ascii="Times New Roman" w:hAnsi="Times New Roman" w:eastAsia="仿宋_GB2312" w:cs="Times New Roman"/>
                <w:bCs/>
                <w:sz w:val="24"/>
                <w:lang w:eastAsia="zh-CN"/>
              </w:rPr>
              <w:t>，且</w:t>
            </w:r>
            <w:r>
              <w:rPr>
                <w:rFonts w:hint="default" w:ascii="Times New Roman" w:hAnsi="Times New Roman" w:eastAsia="仿宋_GB2312" w:cs="Times New Roman"/>
                <w:bCs/>
                <w:sz w:val="24"/>
              </w:rPr>
              <w:t>需含有中药材种植加工登记事项；</w:t>
            </w:r>
          </w:p>
          <w:p>
            <w:pPr>
              <w:snapToGrid w:val="0"/>
              <w:spacing w:line="360" w:lineRule="exact"/>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中药材品种属于保护野生动植物的，必须取得相关合规材料。</w:t>
            </w:r>
          </w:p>
          <w:p>
            <w:pPr>
              <w:snapToGrid w:val="0"/>
              <w:spacing w:line="360" w:lineRule="exact"/>
              <w:jc w:val="left"/>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rPr>
              <w:t>采购的趁鲜切制中药材应当是产地省级药品监督管理部门公布的品种</w:t>
            </w:r>
          </w:p>
        </w:tc>
        <w:tc>
          <w:tcPr>
            <w:tcW w:w="1551" w:type="dxa"/>
            <w:shd w:val="clear" w:color="auto" w:fill="auto"/>
            <w:vAlign w:val="center"/>
          </w:tcPr>
          <w:p>
            <w:pPr>
              <w:snapToGrid w:val="0"/>
              <w:jc w:val="center"/>
              <w:rPr>
                <w:rFonts w:hint="default"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gridAfter w:val="1"/>
          <w:wAfter w:w="66" w:type="dxa"/>
          <w:jc w:val="center"/>
        </w:trPr>
        <w:tc>
          <w:tcPr>
            <w:tcW w:w="763" w:type="dxa"/>
            <w:shd w:val="clear" w:color="auto" w:fill="auto"/>
            <w:vAlign w:val="center"/>
          </w:tcPr>
          <w:p>
            <w:pPr>
              <w:snapToGrid w:val="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2</w:t>
            </w:r>
          </w:p>
        </w:tc>
        <w:tc>
          <w:tcPr>
            <w:tcW w:w="1478" w:type="dxa"/>
            <w:shd w:val="clear" w:color="auto" w:fill="auto"/>
            <w:vAlign w:val="center"/>
          </w:tcPr>
          <w:p>
            <w:pPr>
              <w:pStyle w:val="16"/>
              <w:shd w:val="clear" w:color="auto" w:fill="FFFFFF"/>
              <w:snapToGrid w:val="0"/>
              <w:spacing w:line="360" w:lineRule="exact"/>
              <w:ind w:firstLine="0" w:firstLineChars="0"/>
              <w:contextualSpacing/>
              <w:jc w:val="center"/>
              <w:rPr>
                <w:rFonts w:hint="default" w:ascii="Times New Roman" w:hAnsi="Times New Roman" w:eastAsia="仿宋_GB2312" w:cs="Times New Roman"/>
                <w:bCs/>
                <w:sz w:val="24"/>
                <w:szCs w:val="24"/>
              </w:rPr>
            </w:pPr>
            <w:r>
              <w:rPr>
                <w:rFonts w:hint="default" w:ascii="Times New Roman" w:hAnsi="Times New Roman" w:eastAsia="仿宋_GB2312" w:cs="Times New Roman"/>
                <w:bCs/>
                <w:sz w:val="24"/>
                <w:szCs w:val="24"/>
              </w:rPr>
              <w:t>种植养殖佐证或养殖基地材料</w:t>
            </w:r>
          </w:p>
          <w:p>
            <w:pPr>
              <w:pStyle w:val="16"/>
              <w:shd w:val="clear" w:color="auto" w:fill="FFFFFF"/>
              <w:snapToGrid w:val="0"/>
              <w:spacing w:line="360" w:lineRule="exact"/>
              <w:ind w:firstLine="0" w:firstLineChars="0"/>
              <w:contextualSpacing/>
              <w:jc w:val="center"/>
              <w:rPr>
                <w:rFonts w:hint="default" w:ascii="Times New Roman" w:hAnsi="Times New Roman" w:eastAsia="仿宋_GB2312" w:cs="Times New Roman"/>
                <w:bCs/>
                <w:kern w:val="2"/>
                <w:sz w:val="24"/>
                <w:szCs w:val="24"/>
                <w:lang w:val="en-US" w:eastAsia="zh-CN" w:bidi="ar-SA"/>
              </w:rPr>
            </w:pPr>
          </w:p>
        </w:tc>
        <w:tc>
          <w:tcPr>
            <w:tcW w:w="4200" w:type="dxa"/>
            <w:gridSpan w:val="2"/>
            <w:shd w:val="clear" w:color="auto" w:fill="auto"/>
            <w:vAlign w:val="center"/>
          </w:tcPr>
          <w:p>
            <w:pPr>
              <w:pStyle w:val="16"/>
              <w:shd w:val="clear" w:color="auto" w:fill="FFFFFF"/>
              <w:snapToGrid w:val="0"/>
              <w:spacing w:line="360" w:lineRule="exact"/>
              <w:ind w:firstLine="0" w:firstLineChars="0"/>
              <w:contextualSpacing/>
              <w:jc w:val="left"/>
              <w:rPr>
                <w:rFonts w:hint="default" w:ascii="Times New Roman" w:hAnsi="Times New Roman" w:eastAsia="仿宋_GB2312" w:cs="Times New Roman"/>
                <w:bCs/>
                <w:sz w:val="24"/>
                <w:szCs w:val="24"/>
              </w:rPr>
            </w:pPr>
            <w:r>
              <w:rPr>
                <w:rFonts w:hint="default" w:ascii="Times New Roman" w:hAnsi="Times New Roman" w:eastAsia="仿宋_GB2312" w:cs="Times New Roman"/>
                <w:bCs/>
                <w:sz w:val="24"/>
                <w:szCs w:val="24"/>
              </w:rPr>
              <w:t>提供中药材种植养殖面积及产量的佐证材料。</w:t>
            </w:r>
          </w:p>
          <w:p>
            <w:pPr>
              <w:pStyle w:val="16"/>
              <w:shd w:val="clear" w:color="auto" w:fill="FFFFFF"/>
              <w:snapToGrid w:val="0"/>
              <w:spacing w:line="360" w:lineRule="exact"/>
              <w:ind w:firstLine="0" w:firstLineChars="0"/>
              <w:contextualSpacing/>
              <w:jc w:val="left"/>
              <w:rPr>
                <w:rFonts w:hint="default" w:ascii="Times New Roman" w:hAnsi="Times New Roman" w:eastAsia="仿宋_GB2312" w:cs="Times New Roman"/>
                <w:bCs/>
                <w:sz w:val="24"/>
                <w:szCs w:val="24"/>
              </w:rPr>
            </w:pPr>
            <w:r>
              <w:rPr>
                <w:rFonts w:hint="default" w:ascii="Times New Roman" w:hAnsi="Times New Roman" w:eastAsia="仿宋_GB2312" w:cs="Times New Roman"/>
                <w:bCs/>
                <w:sz w:val="24"/>
                <w:szCs w:val="24"/>
              </w:rPr>
              <w:t>1.</w:t>
            </w:r>
            <w:r>
              <w:rPr>
                <w:rFonts w:hint="default" w:ascii="Times New Roman" w:hAnsi="Times New Roman" w:eastAsia="仿宋_GB2312" w:cs="Times New Roman"/>
                <w:sz w:val="24"/>
                <w:szCs w:val="24"/>
              </w:rPr>
              <w:t>中药材种植养殖面积地块承包合同或流转土地合同</w:t>
            </w:r>
            <w:r>
              <w:rPr>
                <w:rFonts w:hint="default" w:ascii="Times New Roman" w:hAnsi="Times New Roman" w:eastAsia="仿宋_GB2312" w:cs="Times New Roman"/>
                <w:bCs/>
                <w:sz w:val="24"/>
                <w:szCs w:val="24"/>
              </w:rPr>
              <w:t>，具备相对固定的种植地块或养殖基地，保证种植、轮作或养殖、繁育的需要，保证所供品种的供应持续稳定。</w:t>
            </w:r>
          </w:p>
          <w:p>
            <w:pPr>
              <w:pStyle w:val="16"/>
              <w:shd w:val="clear" w:color="auto" w:fill="FFFFFF"/>
              <w:snapToGrid w:val="0"/>
              <w:spacing w:line="360" w:lineRule="exact"/>
              <w:ind w:firstLine="0" w:firstLineChars="0"/>
              <w:contextualSpacing/>
              <w:jc w:val="left"/>
              <w:rPr>
                <w:rFonts w:hint="default" w:ascii="Times New Roman" w:hAnsi="Times New Roman" w:eastAsia="仿宋_GB2312" w:cs="Times New Roman"/>
                <w:bCs/>
                <w:sz w:val="24"/>
                <w:szCs w:val="24"/>
              </w:rPr>
            </w:pPr>
            <w:r>
              <w:rPr>
                <w:rFonts w:hint="default" w:ascii="Times New Roman" w:hAnsi="Times New Roman" w:eastAsia="仿宋_GB2312" w:cs="Times New Roman"/>
                <w:bCs/>
                <w:sz w:val="24"/>
                <w:szCs w:val="24"/>
              </w:rPr>
              <w:t>2.组织农户合约订单种植的，需提供种植农户的姓名</w:t>
            </w:r>
            <w:r>
              <w:rPr>
                <w:rFonts w:hint="eastAsia" w:eastAsia="仿宋_GB2312" w:cs="Times New Roman"/>
                <w:bCs/>
                <w:sz w:val="24"/>
                <w:szCs w:val="24"/>
                <w:lang w:eastAsia="zh-CN"/>
              </w:rPr>
              <w:t>及</w:t>
            </w:r>
            <w:r>
              <w:rPr>
                <w:rFonts w:hint="default" w:ascii="Times New Roman" w:hAnsi="Times New Roman" w:eastAsia="仿宋_GB2312" w:cs="Times New Roman"/>
                <w:bCs/>
                <w:sz w:val="24"/>
                <w:szCs w:val="24"/>
              </w:rPr>
              <w:t>联系方式、种植地块详细信息和种植协议（具体到村组）及药材收购台账。</w:t>
            </w:r>
          </w:p>
          <w:p>
            <w:pPr>
              <w:pStyle w:val="16"/>
              <w:shd w:val="clear" w:color="auto" w:fill="FFFFFF"/>
              <w:snapToGrid w:val="0"/>
              <w:spacing w:line="360" w:lineRule="exact"/>
              <w:ind w:firstLine="0" w:firstLineChars="0"/>
              <w:contextualSpacing/>
              <w:jc w:val="left"/>
              <w:rPr>
                <w:rFonts w:hint="default" w:ascii="Times New Roman" w:hAnsi="Times New Roman" w:eastAsia="仿宋_GB2312" w:cs="Times New Roman"/>
                <w:bCs/>
                <w:kern w:val="2"/>
                <w:sz w:val="24"/>
                <w:szCs w:val="24"/>
                <w:lang w:val="en-US" w:eastAsia="zh-CN" w:bidi="ar-SA"/>
              </w:rPr>
            </w:pPr>
            <w:r>
              <w:rPr>
                <w:rFonts w:hint="default" w:ascii="Times New Roman" w:hAnsi="Times New Roman" w:eastAsia="仿宋_GB2312" w:cs="Times New Roman"/>
                <w:bCs/>
                <w:sz w:val="24"/>
                <w:szCs w:val="24"/>
              </w:rPr>
              <w:t>3.对于野生采集中药材，需提供采集农户的姓名</w:t>
            </w:r>
            <w:r>
              <w:rPr>
                <w:rFonts w:hint="eastAsia" w:eastAsia="仿宋_GB2312" w:cs="Times New Roman"/>
                <w:bCs/>
                <w:sz w:val="24"/>
                <w:szCs w:val="24"/>
                <w:lang w:eastAsia="zh-CN"/>
              </w:rPr>
              <w:t>及</w:t>
            </w:r>
            <w:r>
              <w:rPr>
                <w:rFonts w:hint="default" w:ascii="Times New Roman" w:hAnsi="Times New Roman" w:eastAsia="仿宋_GB2312" w:cs="Times New Roman"/>
                <w:bCs/>
                <w:sz w:val="24"/>
                <w:szCs w:val="24"/>
              </w:rPr>
              <w:t>联系方式</w:t>
            </w:r>
            <w:r>
              <w:rPr>
                <w:rFonts w:hint="eastAsia" w:eastAsia="仿宋_GB2312" w:cs="Times New Roman"/>
                <w:bCs/>
                <w:sz w:val="24"/>
                <w:szCs w:val="24"/>
                <w:lang w:eastAsia="zh-CN"/>
              </w:rPr>
              <w:t>，</w:t>
            </w:r>
            <w:r>
              <w:rPr>
                <w:rFonts w:hint="default" w:ascii="Times New Roman" w:hAnsi="Times New Roman" w:eastAsia="仿宋_GB2312" w:cs="Times New Roman"/>
                <w:bCs/>
                <w:sz w:val="24"/>
                <w:szCs w:val="24"/>
              </w:rPr>
              <w:t>采集区域范围（具体到乡镇）、药材收购台账。</w:t>
            </w:r>
          </w:p>
        </w:tc>
        <w:tc>
          <w:tcPr>
            <w:tcW w:w="1551" w:type="dxa"/>
            <w:shd w:val="clear" w:color="auto" w:fill="auto"/>
            <w:vAlign w:val="center"/>
          </w:tcPr>
          <w:p>
            <w:pPr>
              <w:snapToGrid w:val="0"/>
              <w:jc w:val="center"/>
              <w:rPr>
                <w:rFonts w:hint="default"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6" w:type="dxa"/>
          <w:jc w:val="center"/>
        </w:trPr>
        <w:tc>
          <w:tcPr>
            <w:tcW w:w="763" w:type="dxa"/>
            <w:shd w:val="clear" w:color="auto" w:fill="auto"/>
            <w:vAlign w:val="center"/>
          </w:tcPr>
          <w:p>
            <w:pPr>
              <w:snapToGrid w:val="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3</w:t>
            </w:r>
          </w:p>
        </w:tc>
        <w:tc>
          <w:tcPr>
            <w:tcW w:w="1478" w:type="dxa"/>
            <w:shd w:val="clear" w:color="auto" w:fill="auto"/>
            <w:vAlign w:val="center"/>
          </w:tcPr>
          <w:p>
            <w:pPr>
              <w:snapToGrid w:val="0"/>
              <w:spacing w:line="360" w:lineRule="exact"/>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质量保证</w:t>
            </w:r>
          </w:p>
        </w:tc>
        <w:tc>
          <w:tcPr>
            <w:tcW w:w="4200" w:type="dxa"/>
            <w:gridSpan w:val="2"/>
            <w:shd w:val="clear" w:color="auto" w:fill="auto"/>
            <w:vAlign w:val="center"/>
          </w:tcPr>
          <w:p>
            <w:pPr>
              <w:pStyle w:val="16"/>
              <w:shd w:val="clear" w:color="auto" w:fill="FFFFFF"/>
              <w:snapToGrid w:val="0"/>
              <w:spacing w:line="360" w:lineRule="exact"/>
              <w:ind w:firstLine="0" w:firstLineChars="0"/>
              <w:contextualSpacing/>
              <w:jc w:val="left"/>
              <w:rPr>
                <w:rFonts w:hint="default" w:ascii="Times New Roman" w:hAnsi="Times New Roman" w:eastAsia="仿宋_GB2312" w:cs="Times New Roman"/>
                <w:bCs/>
                <w:sz w:val="24"/>
                <w:szCs w:val="24"/>
              </w:rPr>
            </w:pPr>
            <w:r>
              <w:rPr>
                <w:rFonts w:hint="default" w:ascii="Times New Roman" w:hAnsi="Times New Roman" w:eastAsia="仿宋_GB2312" w:cs="Times New Roman"/>
                <w:bCs/>
                <w:sz w:val="24"/>
                <w:szCs w:val="24"/>
              </w:rPr>
              <w:t>法定代表人、主要负责人应当对中药材质量全面负责，保证中药材生产企业具备配合中药生产企业落实药品质量管理要求的能力，为采购方的质量追溯提供必要的支持。</w:t>
            </w:r>
          </w:p>
        </w:tc>
        <w:tc>
          <w:tcPr>
            <w:tcW w:w="1551" w:type="dxa"/>
            <w:shd w:val="clear" w:color="auto" w:fill="auto"/>
            <w:vAlign w:val="center"/>
          </w:tcPr>
          <w:p>
            <w:pPr>
              <w:snapToGrid w:val="0"/>
              <w:jc w:val="center"/>
              <w:rPr>
                <w:rFonts w:hint="default"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gridAfter w:val="1"/>
          <w:wAfter w:w="66" w:type="dxa"/>
          <w:jc w:val="center"/>
        </w:trPr>
        <w:tc>
          <w:tcPr>
            <w:tcW w:w="763" w:type="dxa"/>
            <w:shd w:val="clear" w:color="auto" w:fill="auto"/>
            <w:vAlign w:val="center"/>
          </w:tcPr>
          <w:p>
            <w:pPr>
              <w:snapToGrid w:val="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4</w:t>
            </w:r>
          </w:p>
        </w:tc>
        <w:tc>
          <w:tcPr>
            <w:tcW w:w="1478" w:type="dxa"/>
            <w:shd w:val="clear" w:color="auto" w:fill="auto"/>
            <w:vAlign w:val="center"/>
          </w:tcPr>
          <w:p>
            <w:pPr>
              <w:snapToGrid w:val="0"/>
              <w:spacing w:line="360" w:lineRule="exact"/>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中药材质量</w:t>
            </w:r>
          </w:p>
        </w:tc>
        <w:tc>
          <w:tcPr>
            <w:tcW w:w="4200" w:type="dxa"/>
            <w:gridSpan w:val="2"/>
            <w:shd w:val="clear" w:color="auto" w:fill="auto"/>
            <w:vAlign w:val="center"/>
          </w:tcPr>
          <w:p>
            <w:pPr>
              <w:pStyle w:val="16"/>
              <w:shd w:val="clear" w:color="auto" w:fill="FFFFFF"/>
              <w:snapToGrid w:val="0"/>
              <w:spacing w:line="360" w:lineRule="exact"/>
              <w:ind w:firstLine="0" w:firstLineChars="0"/>
              <w:contextualSpacing/>
              <w:jc w:val="left"/>
              <w:rPr>
                <w:rFonts w:hint="default" w:ascii="Times New Roman" w:hAnsi="Times New Roman" w:eastAsia="仿宋_GB2312" w:cs="Times New Roman"/>
                <w:bCs/>
                <w:sz w:val="24"/>
                <w:szCs w:val="24"/>
              </w:rPr>
            </w:pPr>
            <w:r>
              <w:rPr>
                <w:rFonts w:hint="default" w:ascii="Times New Roman" w:hAnsi="Times New Roman" w:eastAsia="仿宋_GB2312" w:cs="Times New Roman"/>
                <w:bCs/>
                <w:sz w:val="24"/>
                <w:szCs w:val="24"/>
              </w:rPr>
              <w:t>明确所供应中药材的基原，中药材质量应符合对应标准（不低于现行法定标准），以及采购方质量协议和采购合同的要求。</w:t>
            </w:r>
          </w:p>
        </w:tc>
        <w:tc>
          <w:tcPr>
            <w:tcW w:w="1551" w:type="dxa"/>
            <w:shd w:val="clear" w:color="auto" w:fill="auto"/>
            <w:vAlign w:val="center"/>
          </w:tcPr>
          <w:p>
            <w:pPr>
              <w:snapToGrid w:val="0"/>
              <w:jc w:val="center"/>
              <w:rPr>
                <w:rFonts w:hint="default"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gridAfter w:val="1"/>
          <w:wAfter w:w="66" w:type="dxa"/>
          <w:jc w:val="center"/>
        </w:trPr>
        <w:tc>
          <w:tcPr>
            <w:tcW w:w="763" w:type="dxa"/>
            <w:shd w:val="clear" w:color="auto" w:fill="auto"/>
            <w:vAlign w:val="center"/>
          </w:tcPr>
          <w:p>
            <w:pPr>
              <w:snapToGrid w:val="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5</w:t>
            </w:r>
          </w:p>
        </w:tc>
        <w:tc>
          <w:tcPr>
            <w:tcW w:w="1478" w:type="dxa"/>
            <w:shd w:val="clear" w:color="auto" w:fill="auto"/>
            <w:vAlign w:val="center"/>
          </w:tcPr>
          <w:p>
            <w:pPr>
              <w:pStyle w:val="16"/>
              <w:shd w:val="clear" w:color="auto" w:fill="FFFFFF"/>
              <w:snapToGrid w:val="0"/>
              <w:spacing w:line="360" w:lineRule="exact"/>
              <w:ind w:firstLine="0" w:firstLineChars="0"/>
              <w:contextualSpacing/>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制度管理</w:t>
            </w:r>
          </w:p>
        </w:tc>
        <w:tc>
          <w:tcPr>
            <w:tcW w:w="4200" w:type="dxa"/>
            <w:gridSpan w:val="2"/>
            <w:shd w:val="clear" w:color="auto" w:fill="auto"/>
            <w:vAlign w:val="center"/>
          </w:tcPr>
          <w:p>
            <w:pPr>
              <w:pStyle w:val="16"/>
              <w:shd w:val="clear" w:color="auto" w:fill="FFFFFF"/>
              <w:snapToGrid w:val="0"/>
              <w:spacing w:line="360" w:lineRule="exact"/>
              <w:ind w:firstLine="0" w:firstLineChars="0"/>
              <w:contextualSpacing/>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建立中药材生产质量管理相关制度，如：中药材的种子、种苗管理制度，种植/养殖、投入品管理制度，采收、加工管理制度，储存、养护管理制度，运输管理制度、追溯制度等，并保证切实执行。</w:t>
            </w:r>
          </w:p>
        </w:tc>
        <w:tc>
          <w:tcPr>
            <w:tcW w:w="1551" w:type="dxa"/>
            <w:shd w:val="clear" w:color="auto" w:fill="auto"/>
            <w:vAlign w:val="center"/>
          </w:tcPr>
          <w:p>
            <w:pPr>
              <w:snapToGrid w:val="0"/>
              <w:jc w:val="center"/>
              <w:rPr>
                <w:rFonts w:hint="default"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gridAfter w:val="1"/>
          <w:wAfter w:w="66" w:type="dxa"/>
          <w:jc w:val="center"/>
        </w:trPr>
        <w:tc>
          <w:tcPr>
            <w:tcW w:w="763" w:type="dxa"/>
            <w:vAlign w:val="center"/>
          </w:tcPr>
          <w:p>
            <w:pPr>
              <w:snapToGrid w:val="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6</w:t>
            </w:r>
          </w:p>
        </w:tc>
        <w:tc>
          <w:tcPr>
            <w:tcW w:w="1478" w:type="dxa"/>
            <w:vAlign w:val="center"/>
          </w:tcPr>
          <w:p>
            <w:pPr>
              <w:pStyle w:val="16"/>
              <w:shd w:val="clear" w:color="auto" w:fill="FFFFFF"/>
              <w:snapToGrid w:val="0"/>
              <w:spacing w:line="360" w:lineRule="exact"/>
              <w:ind w:firstLine="0" w:firstLineChars="0"/>
              <w:contextualSpacing/>
              <w:jc w:val="center"/>
              <w:rPr>
                <w:rFonts w:hint="default" w:ascii="Times New Roman" w:hAnsi="Times New Roman" w:eastAsia="仿宋_GB2312" w:cs="Times New Roman"/>
                <w:bCs/>
                <w:sz w:val="24"/>
                <w:szCs w:val="24"/>
              </w:rPr>
            </w:pPr>
            <w:r>
              <w:rPr>
                <w:rFonts w:hint="default" w:ascii="Times New Roman" w:hAnsi="Times New Roman" w:eastAsia="仿宋_GB2312" w:cs="Times New Roman"/>
                <w:sz w:val="24"/>
                <w:szCs w:val="24"/>
              </w:rPr>
              <w:t>种植/养殖管理</w:t>
            </w:r>
          </w:p>
        </w:tc>
        <w:tc>
          <w:tcPr>
            <w:tcW w:w="4200" w:type="dxa"/>
            <w:gridSpan w:val="2"/>
            <w:vAlign w:val="center"/>
          </w:tcPr>
          <w:p>
            <w:pPr>
              <w:pStyle w:val="16"/>
              <w:shd w:val="clear" w:color="auto" w:fill="FFFFFF"/>
              <w:snapToGrid w:val="0"/>
              <w:spacing w:line="360" w:lineRule="exact"/>
              <w:ind w:firstLine="0" w:firstLineChars="0"/>
              <w:contextualSpacing/>
              <w:jc w:val="left"/>
              <w:rPr>
                <w:rFonts w:hint="default" w:ascii="Times New Roman" w:hAnsi="Times New Roman" w:eastAsia="仿宋_GB2312" w:cs="Times New Roman"/>
                <w:bCs/>
                <w:sz w:val="24"/>
                <w:szCs w:val="24"/>
              </w:rPr>
            </w:pPr>
            <w:r>
              <w:rPr>
                <w:rFonts w:hint="default" w:ascii="Times New Roman" w:hAnsi="Times New Roman" w:eastAsia="仿宋_GB2312" w:cs="Times New Roman"/>
                <w:bCs/>
                <w:sz w:val="24"/>
                <w:szCs w:val="24"/>
              </w:rPr>
              <w:t>制订种植/养殖技术规程，按规程有序开展中药材种植/养殖，种植包括：种苗要求，轮作、间套种、前茬管理等，投入品如肥料、农药等施用要求，田间管理要求，病虫草害等的防治要求等。</w:t>
            </w:r>
            <w:r>
              <w:rPr>
                <w:rFonts w:hint="default" w:ascii="Times New Roman" w:hAnsi="Times New Roman" w:eastAsia="仿宋_GB2312" w:cs="Times New Roman"/>
                <w:sz w:val="24"/>
                <w:szCs w:val="24"/>
              </w:rPr>
              <w:t>不得使用禁用农药。养殖包括：种群管理要求、养殖场地设施要求、繁育方法要求、饲养管理要求、疾病防控要求、种群繁育、养殖场所使用的消毒剂、预防和治疗药物的使用、患病药用动物处理技术等。</w:t>
            </w:r>
          </w:p>
        </w:tc>
        <w:tc>
          <w:tcPr>
            <w:tcW w:w="1551" w:type="dxa"/>
            <w:vAlign w:val="center"/>
          </w:tcPr>
          <w:p>
            <w:pPr>
              <w:snapToGrid w:val="0"/>
              <w:jc w:val="center"/>
              <w:rPr>
                <w:rFonts w:hint="default"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6" w:type="dxa"/>
          <w:jc w:val="center"/>
        </w:trPr>
        <w:tc>
          <w:tcPr>
            <w:tcW w:w="763" w:type="dxa"/>
            <w:vAlign w:val="center"/>
          </w:tcPr>
          <w:p>
            <w:pPr>
              <w:snapToGrid w:val="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7</w:t>
            </w:r>
          </w:p>
        </w:tc>
        <w:tc>
          <w:tcPr>
            <w:tcW w:w="1478" w:type="dxa"/>
            <w:vAlign w:val="center"/>
          </w:tcPr>
          <w:p>
            <w:pPr>
              <w:pStyle w:val="16"/>
              <w:shd w:val="clear" w:color="auto" w:fill="FFFFFF"/>
              <w:snapToGrid w:val="0"/>
              <w:spacing w:line="360" w:lineRule="exact"/>
              <w:ind w:firstLine="0" w:firstLineChars="0"/>
              <w:contextualSpacing/>
              <w:jc w:val="center"/>
              <w:rPr>
                <w:rFonts w:hint="default" w:ascii="Times New Roman" w:hAnsi="Times New Roman" w:eastAsia="仿宋_GB2312" w:cs="Times New Roman"/>
                <w:bCs/>
                <w:sz w:val="24"/>
                <w:szCs w:val="24"/>
              </w:rPr>
            </w:pPr>
            <w:r>
              <w:rPr>
                <w:rFonts w:hint="default" w:ascii="Times New Roman" w:hAnsi="Times New Roman" w:eastAsia="仿宋_GB2312" w:cs="Times New Roman"/>
                <w:sz w:val="24"/>
                <w:szCs w:val="24"/>
              </w:rPr>
              <w:t>采收管理</w:t>
            </w:r>
          </w:p>
        </w:tc>
        <w:tc>
          <w:tcPr>
            <w:tcW w:w="4200" w:type="dxa"/>
            <w:gridSpan w:val="2"/>
            <w:vAlign w:val="center"/>
          </w:tcPr>
          <w:p>
            <w:pPr>
              <w:pStyle w:val="16"/>
              <w:shd w:val="clear" w:color="auto" w:fill="FFFFFF"/>
              <w:snapToGrid w:val="0"/>
              <w:spacing w:line="360" w:lineRule="exact"/>
              <w:ind w:firstLine="0" w:firstLineChars="0"/>
              <w:contextualSpacing/>
              <w:jc w:val="left"/>
              <w:rPr>
                <w:rFonts w:hint="default" w:ascii="Times New Roman" w:hAnsi="Times New Roman" w:eastAsia="仿宋_GB2312" w:cs="Times New Roman"/>
                <w:bCs/>
                <w:sz w:val="24"/>
                <w:szCs w:val="24"/>
              </w:rPr>
            </w:pPr>
            <w:r>
              <w:rPr>
                <w:rFonts w:hint="default" w:ascii="Times New Roman" w:hAnsi="Times New Roman" w:eastAsia="仿宋_GB2312" w:cs="Times New Roman"/>
                <w:sz w:val="24"/>
                <w:szCs w:val="24"/>
              </w:rPr>
              <w:t>制订中药材采收技术规程，按规程有序开展采收，包括：明确采收的部位，采收期要求如采收年限、采收时间等，采收方法要求如采收器具、具体采收方法等，采收后中药材临时保存方法要求等。采收后的运输和临时存放措施不导致中药材品质下降，不得产生新污染及杂物混入，严防采收后的中药材淋雨、泡水、霉变、腐烂等。</w:t>
            </w:r>
            <w:r>
              <w:rPr>
                <w:rFonts w:hint="default" w:ascii="Times New Roman" w:hAnsi="Times New Roman" w:eastAsia="仿宋_GB2312" w:cs="Times New Roman"/>
                <w:bCs/>
                <w:sz w:val="24"/>
                <w:szCs w:val="24"/>
              </w:rPr>
              <w:t xml:space="preserve"> </w:t>
            </w:r>
          </w:p>
        </w:tc>
        <w:tc>
          <w:tcPr>
            <w:tcW w:w="1551" w:type="dxa"/>
            <w:vAlign w:val="center"/>
          </w:tcPr>
          <w:p>
            <w:pPr>
              <w:snapToGrid w:val="0"/>
              <w:jc w:val="center"/>
              <w:rPr>
                <w:rFonts w:hint="default"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gridAfter w:val="1"/>
          <w:wAfter w:w="66" w:type="dxa"/>
          <w:jc w:val="center"/>
        </w:trPr>
        <w:tc>
          <w:tcPr>
            <w:tcW w:w="763" w:type="dxa"/>
            <w:vAlign w:val="center"/>
          </w:tcPr>
          <w:p>
            <w:pPr>
              <w:snapToGrid w:val="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8</w:t>
            </w:r>
          </w:p>
        </w:tc>
        <w:tc>
          <w:tcPr>
            <w:tcW w:w="1478" w:type="dxa"/>
            <w:vAlign w:val="center"/>
          </w:tcPr>
          <w:p>
            <w:pPr>
              <w:pStyle w:val="16"/>
              <w:shd w:val="clear" w:color="auto" w:fill="FFFFFF"/>
              <w:snapToGrid w:val="0"/>
              <w:spacing w:line="360" w:lineRule="exact"/>
              <w:ind w:firstLine="0" w:firstLineChars="0"/>
              <w:contextualSpacing/>
              <w:jc w:val="center"/>
              <w:rPr>
                <w:rFonts w:hint="default" w:ascii="Times New Roman" w:hAnsi="Times New Roman" w:eastAsia="仿宋_GB2312" w:cs="Times New Roman"/>
                <w:bCs/>
                <w:sz w:val="24"/>
                <w:szCs w:val="24"/>
              </w:rPr>
            </w:pPr>
            <w:r>
              <w:rPr>
                <w:rFonts w:hint="default" w:ascii="Times New Roman" w:hAnsi="Times New Roman" w:eastAsia="仿宋_GB2312" w:cs="Times New Roman"/>
                <w:sz w:val="24"/>
                <w:szCs w:val="24"/>
              </w:rPr>
              <w:t>加工管理</w:t>
            </w:r>
          </w:p>
        </w:tc>
        <w:tc>
          <w:tcPr>
            <w:tcW w:w="4200" w:type="dxa"/>
            <w:gridSpan w:val="2"/>
            <w:vAlign w:val="center"/>
          </w:tcPr>
          <w:p>
            <w:pPr>
              <w:pStyle w:val="16"/>
              <w:shd w:val="clear" w:color="auto" w:fill="FFFFFF"/>
              <w:snapToGrid w:val="0"/>
              <w:spacing w:line="360" w:lineRule="exact"/>
              <w:ind w:firstLine="0" w:firstLineChars="0"/>
              <w:contextualSpacing/>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产地加工应当具备与其加工规模相适应的专门人员及加工、干燥、包装、仓储等设施设备，产地加工设施的选用与配置应当符合预定用途，并便于操作、清洁、维护，确保加工设施卫生、不污染中药材。加工用水不得低于饮用水标准。动物药采收时如为活体，需要进行产地加工的，是否能及时采收加工。</w:t>
            </w:r>
          </w:p>
          <w:p>
            <w:pPr>
              <w:pStyle w:val="16"/>
              <w:shd w:val="clear" w:color="auto" w:fill="FFFFFF"/>
              <w:snapToGrid w:val="0"/>
              <w:spacing w:line="360" w:lineRule="exact"/>
              <w:ind w:firstLine="0" w:firstLineChars="0"/>
              <w:contextualSpacing/>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加工过程禁止染色增重、漂白、掺杂使假，禁止使用有毒、有害物质用于防霉、防腐、防虫。毒性中药材加工应与其他中药材严格分开并不得混淆，产生的废弃物处理应符合要求。</w:t>
            </w:r>
          </w:p>
        </w:tc>
        <w:tc>
          <w:tcPr>
            <w:tcW w:w="1551" w:type="dxa"/>
            <w:vAlign w:val="center"/>
          </w:tcPr>
          <w:p>
            <w:pPr>
              <w:snapToGrid w:val="0"/>
              <w:jc w:val="center"/>
              <w:rPr>
                <w:rFonts w:hint="default"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gridAfter w:val="1"/>
          <w:wAfter w:w="66" w:type="dxa"/>
          <w:jc w:val="center"/>
        </w:trPr>
        <w:tc>
          <w:tcPr>
            <w:tcW w:w="763" w:type="dxa"/>
            <w:vAlign w:val="center"/>
          </w:tcPr>
          <w:p>
            <w:pPr>
              <w:snapToGrid w:val="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9</w:t>
            </w:r>
          </w:p>
        </w:tc>
        <w:tc>
          <w:tcPr>
            <w:tcW w:w="1478" w:type="dxa"/>
            <w:vAlign w:val="center"/>
          </w:tcPr>
          <w:p>
            <w:pPr>
              <w:pStyle w:val="16"/>
              <w:shd w:val="clear" w:color="auto" w:fill="FFFFFF"/>
              <w:snapToGrid w:val="0"/>
              <w:spacing w:line="360" w:lineRule="exact"/>
              <w:ind w:firstLine="0" w:firstLineChars="0"/>
              <w:contextualSpacing/>
              <w:jc w:val="center"/>
              <w:rPr>
                <w:rFonts w:hint="default" w:ascii="Times New Roman" w:hAnsi="Times New Roman" w:eastAsia="仿宋_GB2312" w:cs="Times New Roman"/>
                <w:bCs/>
                <w:sz w:val="24"/>
                <w:szCs w:val="24"/>
              </w:rPr>
            </w:pPr>
            <w:r>
              <w:rPr>
                <w:rFonts w:hint="default" w:ascii="Times New Roman" w:hAnsi="Times New Roman" w:eastAsia="仿宋_GB2312" w:cs="Times New Roman"/>
                <w:sz w:val="24"/>
                <w:szCs w:val="24"/>
              </w:rPr>
              <w:t>包装管理</w:t>
            </w:r>
          </w:p>
        </w:tc>
        <w:tc>
          <w:tcPr>
            <w:tcW w:w="4200" w:type="dxa"/>
            <w:gridSpan w:val="2"/>
            <w:vAlign w:val="center"/>
          </w:tcPr>
          <w:p>
            <w:pPr>
              <w:pStyle w:val="16"/>
              <w:shd w:val="clear" w:color="auto" w:fill="FFFFFF"/>
              <w:snapToGrid w:val="0"/>
              <w:spacing w:line="360" w:lineRule="exact"/>
              <w:ind w:firstLine="0" w:firstLineChars="0"/>
              <w:contextualSpacing/>
              <w:jc w:val="left"/>
              <w:rPr>
                <w:rFonts w:hint="default" w:ascii="Times New Roman" w:hAnsi="Times New Roman" w:eastAsia="仿宋_GB2312" w:cs="Times New Roman"/>
                <w:bCs/>
                <w:sz w:val="24"/>
                <w:szCs w:val="24"/>
              </w:rPr>
            </w:pPr>
            <w:r>
              <w:rPr>
                <w:rFonts w:hint="default" w:ascii="Times New Roman" w:hAnsi="Times New Roman" w:eastAsia="仿宋_GB2312" w:cs="Times New Roman"/>
                <w:sz w:val="24"/>
                <w:szCs w:val="24"/>
              </w:rPr>
              <w:t>制订中药材包装技术规程，应当按照规程选用符合国家相关标准和药材特点、能够保持中药材质量的包装材料，进行规范包装。禁止采用肥料、农药等包装袋包装药材。</w:t>
            </w:r>
          </w:p>
        </w:tc>
        <w:tc>
          <w:tcPr>
            <w:tcW w:w="1551" w:type="dxa"/>
            <w:vAlign w:val="center"/>
          </w:tcPr>
          <w:p>
            <w:pPr>
              <w:snapToGrid w:val="0"/>
              <w:jc w:val="center"/>
              <w:rPr>
                <w:rFonts w:hint="default"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gridAfter w:val="1"/>
          <w:wAfter w:w="66" w:type="dxa"/>
          <w:jc w:val="center"/>
        </w:trPr>
        <w:tc>
          <w:tcPr>
            <w:tcW w:w="763" w:type="dxa"/>
            <w:vAlign w:val="center"/>
          </w:tcPr>
          <w:p>
            <w:pPr>
              <w:snapToGrid w:val="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10</w:t>
            </w:r>
          </w:p>
        </w:tc>
        <w:tc>
          <w:tcPr>
            <w:tcW w:w="1478" w:type="dxa"/>
            <w:shd w:val="clear" w:color="auto" w:fill="auto"/>
            <w:vAlign w:val="center"/>
          </w:tcPr>
          <w:p>
            <w:pPr>
              <w:pStyle w:val="16"/>
              <w:shd w:val="clear" w:color="auto" w:fill="FFFFFF"/>
              <w:snapToGrid w:val="0"/>
              <w:spacing w:line="360" w:lineRule="exact"/>
              <w:ind w:firstLine="0" w:firstLineChars="0"/>
              <w:contextualSpacing/>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贮藏管理</w:t>
            </w:r>
          </w:p>
        </w:tc>
        <w:tc>
          <w:tcPr>
            <w:tcW w:w="4200" w:type="dxa"/>
            <w:gridSpan w:val="2"/>
            <w:shd w:val="clear" w:color="auto" w:fill="auto"/>
            <w:vAlign w:val="center"/>
          </w:tcPr>
          <w:p>
            <w:pPr>
              <w:pStyle w:val="16"/>
              <w:shd w:val="clear" w:color="auto" w:fill="FFFFFF"/>
              <w:snapToGrid w:val="0"/>
              <w:spacing w:line="360" w:lineRule="exact"/>
              <w:ind w:firstLine="0" w:firstLineChars="0"/>
              <w:contextualSpacing/>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中药材对贮存温度、湿度、光照、通风等条件的要求，确定仓储设施条件，并分区存放中药材，不同品种、不同批次中药材不得混放。根据需要配备控温、避光、通风、防潮和防虫、防鼠禽畜等设施，并采取有效措施，对温、湿度进行监控；贮存易串味、鲜活中药材应当有适当的设施（如专库、冷藏设施）。</w:t>
            </w:r>
          </w:p>
          <w:p>
            <w:pPr>
              <w:pStyle w:val="16"/>
              <w:shd w:val="clear" w:color="auto" w:fill="FFFFFF"/>
              <w:snapToGrid w:val="0"/>
              <w:spacing w:line="360" w:lineRule="exact"/>
              <w:ind w:firstLine="0" w:firstLineChars="0"/>
              <w:contextualSpacing/>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医疗用毒性药品、麻醉药品等有特殊管理要求的中药材应当设置专库存放，并有相应的防盗等安全措施。</w:t>
            </w:r>
          </w:p>
        </w:tc>
        <w:tc>
          <w:tcPr>
            <w:tcW w:w="1551" w:type="dxa"/>
            <w:vAlign w:val="center"/>
          </w:tcPr>
          <w:p>
            <w:pPr>
              <w:snapToGrid w:val="0"/>
              <w:jc w:val="center"/>
              <w:rPr>
                <w:rFonts w:hint="default"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gridAfter w:val="1"/>
          <w:wAfter w:w="66" w:type="dxa"/>
          <w:trHeight w:val="3221" w:hRule="atLeast"/>
          <w:jc w:val="center"/>
        </w:trPr>
        <w:tc>
          <w:tcPr>
            <w:tcW w:w="763" w:type="dxa"/>
            <w:vAlign w:val="center"/>
          </w:tcPr>
          <w:p>
            <w:pPr>
              <w:snapToGrid w:val="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11</w:t>
            </w:r>
          </w:p>
        </w:tc>
        <w:tc>
          <w:tcPr>
            <w:tcW w:w="1478" w:type="dxa"/>
            <w:vAlign w:val="center"/>
          </w:tcPr>
          <w:p>
            <w:pPr>
              <w:pStyle w:val="16"/>
              <w:shd w:val="clear" w:color="auto" w:fill="FFFFFF"/>
              <w:snapToGrid w:val="0"/>
              <w:spacing w:line="360" w:lineRule="exact"/>
              <w:ind w:firstLine="0" w:firstLineChars="0"/>
              <w:contextualSpacing/>
              <w:jc w:val="center"/>
              <w:rPr>
                <w:rFonts w:hint="default" w:ascii="Times New Roman" w:hAnsi="Times New Roman" w:eastAsia="仿宋_GB2312" w:cs="Times New Roman"/>
                <w:bCs/>
                <w:sz w:val="24"/>
                <w:szCs w:val="24"/>
              </w:rPr>
            </w:pPr>
            <w:r>
              <w:rPr>
                <w:rFonts w:hint="default" w:ascii="Times New Roman" w:hAnsi="Times New Roman" w:eastAsia="仿宋_GB2312" w:cs="Times New Roman"/>
                <w:sz w:val="24"/>
                <w:szCs w:val="24"/>
              </w:rPr>
              <w:t>养护管理</w:t>
            </w:r>
          </w:p>
        </w:tc>
        <w:tc>
          <w:tcPr>
            <w:tcW w:w="4200" w:type="dxa"/>
            <w:gridSpan w:val="2"/>
            <w:vAlign w:val="center"/>
          </w:tcPr>
          <w:p>
            <w:pPr>
              <w:pStyle w:val="16"/>
              <w:shd w:val="clear" w:color="auto" w:fill="FFFFFF"/>
              <w:snapToGrid w:val="0"/>
              <w:spacing w:line="360" w:lineRule="exact"/>
              <w:ind w:firstLine="0" w:firstLineChars="0"/>
              <w:contextualSpacing/>
              <w:jc w:val="left"/>
              <w:rPr>
                <w:rFonts w:hint="default" w:ascii="Times New Roman" w:hAnsi="Times New Roman" w:eastAsia="仿宋_GB2312" w:cs="Times New Roman"/>
                <w:bCs/>
                <w:sz w:val="24"/>
                <w:szCs w:val="24"/>
              </w:rPr>
            </w:pPr>
            <w:r>
              <w:rPr>
                <w:rFonts w:hint="default" w:ascii="Times New Roman" w:hAnsi="Times New Roman" w:eastAsia="仿宋_GB2312" w:cs="Times New Roman"/>
                <w:sz w:val="24"/>
                <w:szCs w:val="24"/>
              </w:rPr>
              <w:t>从事养护工作人员应掌握中药材养护知识与技能。应当对储存的中药材进行定期检查，防止虫蛀、霉变、腐烂、泛油等的发生。应按照制定的中药材养护操作规程开展养护工作，贮存期间各种养护操作应当建立养护记录。养护方法应当安全有效，使用的熏蒸剂不能带来质量和安全风险，不得使用国家禁用的高毒性熏蒸剂。</w:t>
            </w:r>
          </w:p>
        </w:tc>
        <w:tc>
          <w:tcPr>
            <w:tcW w:w="1551" w:type="dxa"/>
            <w:vAlign w:val="center"/>
          </w:tcPr>
          <w:p>
            <w:pPr>
              <w:snapToGrid w:val="0"/>
              <w:jc w:val="center"/>
              <w:rPr>
                <w:rFonts w:hint="default"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gridAfter w:val="1"/>
          <w:wAfter w:w="66" w:type="dxa"/>
          <w:trHeight w:val="2617" w:hRule="atLeast"/>
          <w:jc w:val="center"/>
        </w:trPr>
        <w:tc>
          <w:tcPr>
            <w:tcW w:w="763" w:type="dxa"/>
            <w:vAlign w:val="center"/>
          </w:tcPr>
          <w:p>
            <w:pPr>
              <w:snapToGrid w:val="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12</w:t>
            </w:r>
          </w:p>
        </w:tc>
        <w:tc>
          <w:tcPr>
            <w:tcW w:w="1478" w:type="dxa"/>
            <w:vAlign w:val="center"/>
          </w:tcPr>
          <w:p>
            <w:pPr>
              <w:snapToGrid w:val="0"/>
              <w:spacing w:line="360" w:lineRule="exact"/>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发运管理</w:t>
            </w:r>
          </w:p>
        </w:tc>
        <w:tc>
          <w:tcPr>
            <w:tcW w:w="4200" w:type="dxa"/>
            <w:gridSpan w:val="2"/>
            <w:vAlign w:val="center"/>
          </w:tcPr>
          <w:p>
            <w:pPr>
              <w:pStyle w:val="16"/>
              <w:shd w:val="clear" w:color="auto" w:fill="FFFFFF"/>
              <w:snapToGrid w:val="0"/>
              <w:spacing w:line="360" w:lineRule="exact"/>
              <w:ind w:firstLine="0" w:firstLineChars="0"/>
              <w:contextualSpacing/>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应当按照技术规程装卸、运输，防止发生混淆、污染、异物混入、包装破损、雨雪淋湿等。应当有中药材发运的记录，可追查每批中药材发运情况，防止发运过程中的破损、混淆和差错等。</w:t>
            </w:r>
          </w:p>
          <w:p>
            <w:pPr>
              <w:pStyle w:val="16"/>
              <w:shd w:val="clear" w:color="auto" w:fill="FFFFFF"/>
              <w:snapToGrid w:val="0"/>
              <w:spacing w:line="360" w:lineRule="exact"/>
              <w:ind w:firstLine="0" w:firstLineChars="0"/>
              <w:contextualSpacing/>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发运中药材应当有包装，每件包装上应有明显标签，标签不易脱落或者损坏。标签标示内容包括品名、基原、产地、采收（初加工）时间、数量、规格、供货单位等信息。医疗用毒性药品（中药材）的包装应当标示有规定的标志。不同产地来源标识不得混淆。</w:t>
            </w:r>
          </w:p>
        </w:tc>
        <w:tc>
          <w:tcPr>
            <w:tcW w:w="1551" w:type="dxa"/>
            <w:vAlign w:val="center"/>
          </w:tcPr>
          <w:p>
            <w:pPr>
              <w:snapToGrid w:val="0"/>
              <w:jc w:val="center"/>
              <w:rPr>
                <w:rFonts w:hint="default"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gridAfter w:val="1"/>
          <w:wAfter w:w="66" w:type="dxa"/>
          <w:trHeight w:val="429" w:hRule="atLeast"/>
          <w:jc w:val="center"/>
        </w:trPr>
        <w:tc>
          <w:tcPr>
            <w:tcW w:w="763" w:type="dxa"/>
            <w:vAlign w:val="center"/>
          </w:tcPr>
          <w:p>
            <w:pPr>
              <w:snapToGrid w:val="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13</w:t>
            </w:r>
          </w:p>
        </w:tc>
        <w:tc>
          <w:tcPr>
            <w:tcW w:w="1478" w:type="dxa"/>
            <w:vAlign w:val="center"/>
          </w:tcPr>
          <w:p>
            <w:pPr>
              <w:snapToGrid w:val="0"/>
              <w:spacing w:line="360" w:lineRule="exact"/>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追溯管理</w:t>
            </w:r>
          </w:p>
        </w:tc>
        <w:tc>
          <w:tcPr>
            <w:tcW w:w="4200" w:type="dxa"/>
            <w:gridSpan w:val="2"/>
            <w:vAlign w:val="center"/>
          </w:tcPr>
          <w:p>
            <w:pPr>
              <w:pStyle w:val="16"/>
              <w:shd w:val="clear" w:color="auto" w:fill="FFFFFF"/>
              <w:snapToGrid w:val="0"/>
              <w:spacing w:line="360" w:lineRule="exact"/>
              <w:ind w:firstLine="0" w:firstLineChars="0"/>
              <w:contextualSpacing/>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应当为采购方实施中药材质量追溯管理提供必要的支持与信息，如：中药材的基原、种苗情况，种植与田间管理情况，农药、肥料施用情况，种植周期与采收加工情况、增加发运等。</w:t>
            </w:r>
          </w:p>
        </w:tc>
        <w:tc>
          <w:tcPr>
            <w:tcW w:w="1551" w:type="dxa"/>
            <w:vAlign w:val="center"/>
          </w:tcPr>
          <w:p>
            <w:pPr>
              <w:snapToGrid w:val="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gridAfter w:val="1"/>
          <w:wAfter w:w="66" w:type="dxa"/>
          <w:trHeight w:val="429" w:hRule="atLeast"/>
          <w:jc w:val="center"/>
        </w:trPr>
        <w:tc>
          <w:tcPr>
            <w:tcW w:w="763" w:type="dxa"/>
            <w:vAlign w:val="center"/>
          </w:tcPr>
          <w:p>
            <w:pPr>
              <w:snapToGrid w:val="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14</w:t>
            </w:r>
          </w:p>
        </w:tc>
        <w:tc>
          <w:tcPr>
            <w:tcW w:w="1478" w:type="dxa"/>
            <w:vAlign w:val="center"/>
          </w:tcPr>
          <w:p>
            <w:pPr>
              <w:snapToGrid w:val="0"/>
              <w:spacing w:line="360" w:lineRule="exact"/>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销售管理</w:t>
            </w:r>
          </w:p>
        </w:tc>
        <w:tc>
          <w:tcPr>
            <w:tcW w:w="4200" w:type="dxa"/>
            <w:gridSpan w:val="2"/>
            <w:vAlign w:val="center"/>
          </w:tcPr>
          <w:p>
            <w:pPr>
              <w:pStyle w:val="16"/>
              <w:shd w:val="clear" w:color="auto" w:fill="FFFFFF"/>
              <w:snapToGrid w:val="0"/>
              <w:spacing w:line="360" w:lineRule="exact"/>
              <w:ind w:firstLine="0" w:firstLineChars="0"/>
              <w:contextualSpacing/>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对中药材的销售进行管理，建立中药材销售台账，保存相关合同与销售凭据。</w:t>
            </w:r>
          </w:p>
        </w:tc>
        <w:tc>
          <w:tcPr>
            <w:tcW w:w="1551" w:type="dxa"/>
            <w:vAlign w:val="center"/>
          </w:tcPr>
          <w:p>
            <w:pPr>
              <w:snapToGrid w:val="0"/>
              <w:jc w:val="center"/>
              <w:rPr>
                <w:rFonts w:hint="default"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gridAfter w:val="1"/>
          <w:wAfter w:w="66" w:type="dxa"/>
          <w:trHeight w:val="791" w:hRule="atLeast"/>
          <w:jc w:val="center"/>
        </w:trPr>
        <w:tc>
          <w:tcPr>
            <w:tcW w:w="763" w:type="dxa"/>
            <w:shd w:val="clear" w:color="auto" w:fill="auto"/>
            <w:vAlign w:val="center"/>
          </w:tcPr>
          <w:p>
            <w:pPr>
              <w:snapToGrid w:val="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15</w:t>
            </w:r>
          </w:p>
        </w:tc>
        <w:tc>
          <w:tcPr>
            <w:tcW w:w="1478" w:type="dxa"/>
            <w:shd w:val="clear" w:color="auto" w:fill="auto"/>
            <w:vAlign w:val="center"/>
          </w:tcPr>
          <w:p>
            <w:pPr>
              <w:snapToGrid w:val="0"/>
              <w:spacing w:line="360" w:lineRule="exact"/>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资源供给保障</w:t>
            </w:r>
          </w:p>
        </w:tc>
        <w:tc>
          <w:tcPr>
            <w:tcW w:w="4200" w:type="dxa"/>
            <w:gridSpan w:val="2"/>
            <w:shd w:val="clear" w:color="auto" w:fill="auto"/>
            <w:vAlign w:val="center"/>
          </w:tcPr>
          <w:p>
            <w:pPr>
              <w:pStyle w:val="16"/>
              <w:shd w:val="clear" w:color="auto" w:fill="FFFFFF"/>
              <w:snapToGrid w:val="0"/>
              <w:spacing w:line="360" w:lineRule="exact"/>
              <w:ind w:firstLine="0" w:firstLineChars="0"/>
              <w:contextualSpacing/>
              <w:jc w:val="left"/>
              <w:rPr>
                <w:rFonts w:hint="default" w:ascii="Times New Roman" w:hAnsi="Times New Roman" w:eastAsia="仿宋_GB2312" w:cs="Times New Roman"/>
                <w:sz w:val="24"/>
                <w:szCs w:val="24"/>
              </w:rPr>
            </w:pPr>
            <w:r>
              <w:rPr>
                <w:rFonts w:hint="default" w:ascii="Times New Roman" w:hAnsi="Times New Roman" w:eastAsia="仿宋_GB2312" w:cs="Times New Roman"/>
                <w:bCs/>
                <w:sz w:val="24"/>
                <w:szCs w:val="24"/>
              </w:rPr>
              <w:t>明确种植养殖规模、年产量、仓储及加工能力，审核评估是否与采购需求匹配，与年度采购计划，确保实际供货能力不低于企业年度需求量并保留合理冗余。</w:t>
            </w:r>
          </w:p>
        </w:tc>
        <w:tc>
          <w:tcPr>
            <w:tcW w:w="1551" w:type="dxa"/>
            <w:shd w:val="clear" w:color="auto" w:fill="auto"/>
            <w:vAlign w:val="center"/>
          </w:tcPr>
          <w:p>
            <w:pPr>
              <w:snapToGrid w:val="0"/>
              <w:jc w:val="center"/>
              <w:rPr>
                <w:rFonts w:hint="default"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gridAfter w:val="1"/>
          <w:wAfter w:w="66" w:type="dxa"/>
          <w:trHeight w:val="791" w:hRule="atLeast"/>
          <w:jc w:val="center"/>
        </w:trPr>
        <w:tc>
          <w:tcPr>
            <w:tcW w:w="763" w:type="dxa"/>
            <w:vAlign w:val="center"/>
          </w:tcPr>
          <w:p>
            <w:pPr>
              <w:snapToGrid w:val="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16</w:t>
            </w:r>
          </w:p>
        </w:tc>
        <w:tc>
          <w:tcPr>
            <w:tcW w:w="1478" w:type="dxa"/>
            <w:vAlign w:val="center"/>
          </w:tcPr>
          <w:p>
            <w:pPr>
              <w:snapToGrid w:val="0"/>
              <w:spacing w:line="360" w:lineRule="exact"/>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特殊管理要求</w:t>
            </w:r>
          </w:p>
        </w:tc>
        <w:tc>
          <w:tcPr>
            <w:tcW w:w="4200" w:type="dxa"/>
            <w:gridSpan w:val="2"/>
            <w:vAlign w:val="center"/>
          </w:tcPr>
          <w:p>
            <w:pPr>
              <w:pStyle w:val="16"/>
              <w:shd w:val="clear" w:color="auto" w:fill="FFFFFF"/>
              <w:snapToGrid w:val="0"/>
              <w:spacing w:line="360" w:lineRule="exact"/>
              <w:ind w:firstLine="0" w:firstLineChars="0"/>
              <w:contextualSpacing/>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医疗用毒性药品、麻醉药品及其他有特殊管理要求的中药材，保护野生药材等种植、采收、储存、销售、运输等执行国家相关规定。</w:t>
            </w:r>
          </w:p>
        </w:tc>
        <w:tc>
          <w:tcPr>
            <w:tcW w:w="1551" w:type="dxa"/>
            <w:vAlign w:val="center"/>
          </w:tcPr>
          <w:p>
            <w:pPr>
              <w:snapToGrid w:val="0"/>
              <w:jc w:val="center"/>
              <w:rPr>
                <w:rFonts w:hint="default"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368" w:hRule="atLeast"/>
          <w:jc w:val="center"/>
        </w:trPr>
        <w:tc>
          <w:tcPr>
            <w:tcW w:w="8058" w:type="dxa"/>
            <w:gridSpan w:val="6"/>
            <w:vAlign w:val="center"/>
          </w:tcPr>
          <w:p>
            <w:pPr>
              <w:snapToGrid w:val="0"/>
              <w:jc w:val="center"/>
              <w:rPr>
                <w:rFonts w:hint="eastAsia" w:ascii="Times New Roman" w:hAnsi="Times New Roman" w:eastAsia="仿宋_GB2312" w:cs="Times New Roman"/>
                <w:bCs/>
                <w:sz w:val="24"/>
                <w:lang w:val="en" w:eastAsia="zh-CN"/>
              </w:rPr>
            </w:pPr>
            <w:r>
              <w:rPr>
                <w:rFonts w:hint="eastAsia" w:ascii="黑体" w:hAnsi="黑体" w:eastAsia="黑体" w:cs="黑体"/>
                <w:bCs/>
                <w:sz w:val="24"/>
                <w:lang w:val="en" w:eastAsia="zh-CN"/>
              </w:rPr>
              <w:t>审核意见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263" w:hRule="atLeast"/>
          <w:jc w:val="center"/>
        </w:trPr>
        <w:tc>
          <w:tcPr>
            <w:tcW w:w="2991" w:type="dxa"/>
            <w:gridSpan w:val="3"/>
            <w:vAlign w:val="center"/>
          </w:tcPr>
          <w:p>
            <w:pPr>
              <w:snapToGrid w:val="0"/>
              <w:jc w:val="center"/>
              <w:rPr>
                <w:rFonts w:hint="eastAsia" w:ascii="黑体" w:hAnsi="黑体" w:eastAsia="黑体" w:cs="黑体"/>
                <w:bCs/>
                <w:sz w:val="24"/>
                <w:lang w:eastAsia="zh-CN"/>
              </w:rPr>
            </w:pPr>
            <w:r>
              <w:rPr>
                <w:rFonts w:hint="eastAsia" w:ascii="黑体" w:hAnsi="黑体" w:eastAsia="黑体" w:cs="黑体"/>
                <w:bCs/>
                <w:sz w:val="24"/>
              </w:rPr>
              <w:t xml:space="preserve"> </w:t>
            </w:r>
            <w:r>
              <w:rPr>
                <w:rFonts w:hint="eastAsia" w:ascii="黑体" w:hAnsi="黑体" w:eastAsia="黑体" w:cs="黑体"/>
                <w:bCs/>
                <w:sz w:val="24"/>
                <w:lang w:eastAsia="zh-CN"/>
              </w:rPr>
              <w:t>审核情况</w:t>
            </w:r>
          </w:p>
          <w:p>
            <w:pPr>
              <w:snapToGrid w:val="0"/>
              <w:jc w:val="center"/>
              <w:rPr>
                <w:rFonts w:hint="eastAsia" w:ascii="黑体" w:hAnsi="黑体" w:eastAsia="黑体" w:cs="黑体"/>
                <w:bCs/>
                <w:sz w:val="24"/>
                <w:lang w:eastAsia="zh-CN"/>
              </w:rPr>
            </w:pPr>
            <w:r>
              <w:rPr>
                <w:rFonts w:hint="eastAsia" w:ascii="黑体" w:hAnsi="黑体" w:eastAsia="黑体" w:cs="黑体"/>
                <w:bCs/>
                <w:sz w:val="24"/>
                <w:lang w:eastAsia="zh-CN"/>
              </w:rPr>
              <w:t>（主要描述审核情况及发现的相关问题）</w:t>
            </w:r>
          </w:p>
        </w:tc>
        <w:tc>
          <w:tcPr>
            <w:tcW w:w="5067" w:type="dxa"/>
            <w:gridSpan w:val="3"/>
            <w:vAlign w:val="center"/>
          </w:tcPr>
          <w:p>
            <w:pPr>
              <w:snapToGrid w:val="0"/>
              <w:jc w:val="center"/>
              <w:rPr>
                <w:rFonts w:hint="default"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263" w:hRule="atLeast"/>
          <w:jc w:val="center"/>
        </w:trPr>
        <w:tc>
          <w:tcPr>
            <w:tcW w:w="2991" w:type="dxa"/>
            <w:gridSpan w:val="3"/>
            <w:vAlign w:val="center"/>
          </w:tcPr>
          <w:p>
            <w:pPr>
              <w:snapToGrid w:val="0"/>
              <w:jc w:val="center"/>
              <w:rPr>
                <w:rFonts w:hint="eastAsia" w:ascii="黑体" w:hAnsi="黑体" w:eastAsia="黑体" w:cs="黑体"/>
                <w:bCs/>
                <w:sz w:val="24"/>
                <w:lang w:eastAsia="zh-CN"/>
              </w:rPr>
            </w:pPr>
            <w:r>
              <w:rPr>
                <w:rFonts w:hint="eastAsia" w:ascii="黑体" w:hAnsi="黑体" w:eastAsia="黑体" w:cs="黑体"/>
                <w:bCs/>
                <w:sz w:val="24"/>
                <w:lang w:eastAsia="zh-CN"/>
              </w:rPr>
              <w:t>审核结论</w:t>
            </w:r>
          </w:p>
        </w:tc>
        <w:tc>
          <w:tcPr>
            <w:tcW w:w="5067" w:type="dxa"/>
            <w:gridSpan w:val="3"/>
            <w:vAlign w:val="center"/>
          </w:tcPr>
          <w:p>
            <w:pPr>
              <w:snapToGrid w:val="0"/>
              <w:jc w:val="center"/>
              <w:rPr>
                <w:rFonts w:hint="default"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263" w:hRule="atLeast"/>
          <w:jc w:val="center"/>
        </w:trPr>
        <w:tc>
          <w:tcPr>
            <w:tcW w:w="2991" w:type="dxa"/>
            <w:gridSpan w:val="3"/>
            <w:vAlign w:val="center"/>
          </w:tcPr>
          <w:p>
            <w:pPr>
              <w:snapToGrid w:val="0"/>
              <w:jc w:val="center"/>
              <w:rPr>
                <w:rFonts w:hint="eastAsia" w:ascii="黑体" w:hAnsi="黑体" w:eastAsia="黑体" w:cs="黑体"/>
                <w:bCs/>
                <w:sz w:val="24"/>
                <w:lang w:eastAsia="zh-CN"/>
              </w:rPr>
            </w:pPr>
            <w:r>
              <w:rPr>
                <w:rFonts w:hint="eastAsia" w:ascii="黑体" w:hAnsi="黑体" w:eastAsia="黑体" w:cs="黑体"/>
                <w:bCs/>
                <w:sz w:val="24"/>
                <w:lang w:eastAsia="zh-CN"/>
              </w:rPr>
              <w:t>审核人员签字</w:t>
            </w:r>
          </w:p>
        </w:tc>
        <w:tc>
          <w:tcPr>
            <w:tcW w:w="5067" w:type="dxa"/>
            <w:gridSpan w:val="3"/>
            <w:vAlign w:val="center"/>
          </w:tcPr>
          <w:p>
            <w:pPr>
              <w:snapToGrid w:val="0"/>
              <w:jc w:val="center"/>
              <w:rPr>
                <w:rFonts w:hint="default" w:ascii="Times New Roman" w:hAnsi="Times New Roman" w:eastAsia="仿宋_GB2312" w:cs="Times New Roman"/>
                <w:bCs/>
                <w:sz w:val="24"/>
              </w:rPr>
            </w:pPr>
          </w:p>
        </w:tc>
      </w:tr>
    </w:tbl>
    <w:p>
      <w:pPr>
        <w:rPr>
          <w:rFonts w:hint="default" w:ascii="Times New Roman" w:hAnsi="Times New Roman" w:cs="Times New Roman"/>
          <w:kern w:val="0"/>
          <w:szCs w:val="21"/>
          <w:lang w:bidi="ar"/>
        </w:rPr>
      </w:pPr>
    </w:p>
    <w:p>
      <w:pPr>
        <w:keepNext w:val="0"/>
        <w:keepLines w:val="0"/>
        <w:pageBreakBefore w:val="0"/>
        <w:widowControl/>
        <w:kinsoku/>
        <w:wordWrap/>
        <w:overflowPunct/>
        <w:topLinePunct w:val="0"/>
        <w:autoSpaceDE/>
        <w:autoSpaceDN/>
        <w:bidi w:val="0"/>
        <w:adjustRightInd/>
        <w:snapToGrid/>
        <w:spacing w:line="560" w:lineRule="exact"/>
        <w:ind w:left="-360" w:firstLine="960" w:firstLineChars="300"/>
        <w:jc w:val="left"/>
        <w:textAlignment w:val="auto"/>
        <w:rPr>
          <w:rFonts w:hint="default" w:ascii="Times New Roman" w:hAnsi="Times New Roman" w:eastAsia="仿宋" w:cs="Times New Roman"/>
          <w:color w:val="1F2329"/>
          <w:sz w:val="32"/>
          <w:szCs w:val="32"/>
        </w:rPr>
        <w:sectPr>
          <w:footerReference r:id="rId5" w:type="default"/>
          <w:pgSz w:w="11906" w:h="16838"/>
          <w:pgMar w:top="1440" w:right="1800" w:bottom="1440" w:left="1800" w:header="851" w:footer="992" w:gutter="0"/>
          <w:pgNumType w:fmt="decimal"/>
          <w:cols w:space="425" w:num="1"/>
          <w:docGrid w:type="lines" w:linePitch="312" w:charSpace="0"/>
        </w:sectPr>
      </w:pPr>
    </w:p>
    <w:p>
      <w:pPr>
        <w:jc w:val="both"/>
        <w:rPr>
          <w:rFonts w:hint="default" w:ascii="Times New Roman" w:hAnsi="Times New Roman" w:eastAsia="黑体" w:cs="Times New Roman"/>
          <w:bCs/>
          <w:sz w:val="32"/>
          <w:szCs w:val="32"/>
          <w:lang w:val="en-US" w:eastAsia="zh-CN"/>
        </w:rPr>
      </w:pPr>
      <w:r>
        <w:rPr>
          <w:rFonts w:hint="default" w:ascii="Times New Roman" w:hAnsi="Times New Roman" w:eastAsia="黑体" w:cs="Times New Roman"/>
          <w:bCs/>
          <w:sz w:val="32"/>
          <w:szCs w:val="32"/>
          <w:lang w:val="en-US" w:eastAsia="zh-CN"/>
        </w:rPr>
        <w:t>附3</w:t>
      </w:r>
    </w:p>
    <w:p>
      <w:pPr>
        <w:jc w:val="center"/>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中药材供应商审核记录表</w:t>
      </w:r>
    </w:p>
    <w:p>
      <w:pPr>
        <w:jc w:val="center"/>
        <w:rPr>
          <w:rFonts w:hint="default" w:ascii="Times New Roman" w:hAnsi="Times New Roman" w:eastAsia="楷体" w:cs="Times New Roman"/>
          <w:bCs/>
          <w:sz w:val="32"/>
          <w:szCs w:val="32"/>
        </w:rPr>
      </w:pPr>
      <w:r>
        <w:rPr>
          <w:rFonts w:hint="default" w:ascii="Times New Roman" w:hAnsi="Times New Roman" w:eastAsia="楷体" w:cs="Times New Roman"/>
          <w:bCs/>
          <w:sz w:val="32"/>
          <w:szCs w:val="32"/>
        </w:rPr>
        <w:t>（适用于中药材经营企业）</w:t>
      </w:r>
    </w:p>
    <w:tbl>
      <w:tblPr>
        <w:tblStyle w:val="11"/>
        <w:tblpPr w:leftFromText="180" w:rightFromText="180" w:vertAnchor="text" w:horzAnchor="page" w:tblpX="1710" w:tblpY="42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5"/>
        <w:gridCol w:w="69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85" w:type="dxa"/>
            <w:tcBorders>
              <w:top w:val="nil"/>
              <w:left w:val="nil"/>
              <w:bottom w:val="nil"/>
              <w:right w:val="nil"/>
            </w:tcBorders>
          </w:tcPr>
          <w:p>
            <w:pPr>
              <w:jc w:val="distribute"/>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供应商名称</w:t>
            </w:r>
          </w:p>
        </w:tc>
        <w:tc>
          <w:tcPr>
            <w:tcW w:w="6945" w:type="dxa"/>
            <w:tcBorders>
              <w:top w:val="nil"/>
              <w:left w:val="nil"/>
              <w:bottom w:val="nil"/>
              <w:right w:val="nil"/>
            </w:tcBorders>
          </w:tcPr>
          <w:p>
            <w:pPr>
              <w:jc w:val="left"/>
              <w:rPr>
                <w:rFonts w:hint="default" w:ascii="Times New Roman" w:hAnsi="Times New Roman" w:eastAsia="仿宋_GB2312"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85" w:type="dxa"/>
            <w:tcBorders>
              <w:top w:val="nil"/>
              <w:left w:val="nil"/>
              <w:bottom w:val="nil"/>
              <w:right w:val="nil"/>
            </w:tcBorders>
          </w:tcPr>
          <w:p>
            <w:pPr>
              <w:jc w:val="distribute"/>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地址</w:t>
            </w:r>
          </w:p>
        </w:tc>
        <w:tc>
          <w:tcPr>
            <w:tcW w:w="6945" w:type="dxa"/>
            <w:tcBorders>
              <w:top w:val="nil"/>
              <w:left w:val="nil"/>
              <w:bottom w:val="nil"/>
              <w:right w:val="nil"/>
            </w:tcBorders>
          </w:tcPr>
          <w:p>
            <w:pPr>
              <w:jc w:val="left"/>
              <w:rPr>
                <w:rFonts w:hint="default" w:ascii="Times New Roman" w:hAnsi="Times New Roman" w:eastAsia="仿宋_GB2312"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85" w:type="dxa"/>
            <w:tcBorders>
              <w:top w:val="nil"/>
              <w:left w:val="nil"/>
              <w:bottom w:val="nil"/>
              <w:right w:val="nil"/>
            </w:tcBorders>
          </w:tcPr>
          <w:p>
            <w:pPr>
              <w:jc w:val="distribute"/>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联系人</w:t>
            </w:r>
          </w:p>
        </w:tc>
        <w:tc>
          <w:tcPr>
            <w:tcW w:w="6945" w:type="dxa"/>
            <w:tcBorders>
              <w:top w:val="nil"/>
              <w:left w:val="nil"/>
              <w:bottom w:val="nil"/>
              <w:right w:val="nil"/>
            </w:tcBorders>
          </w:tcPr>
          <w:p>
            <w:pPr>
              <w:jc w:val="left"/>
              <w:rPr>
                <w:rFonts w:hint="default" w:ascii="Times New Roman" w:hAnsi="Times New Roman" w:eastAsia="仿宋_GB2312"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85" w:type="dxa"/>
            <w:tcBorders>
              <w:top w:val="nil"/>
              <w:left w:val="nil"/>
              <w:bottom w:val="nil"/>
              <w:right w:val="nil"/>
            </w:tcBorders>
          </w:tcPr>
          <w:p>
            <w:pPr>
              <w:jc w:val="distribute"/>
              <w:rPr>
                <w:rFonts w:hint="eastAsia" w:ascii="Times New Roman" w:hAnsi="Times New Roman" w:eastAsia="仿宋_GB2312" w:cs="Times New Roman"/>
                <w:bCs/>
                <w:sz w:val="28"/>
                <w:szCs w:val="28"/>
                <w:lang w:eastAsia="zh-CN"/>
              </w:rPr>
            </w:pPr>
            <w:r>
              <w:rPr>
                <w:rFonts w:hint="eastAsia" w:ascii="Times New Roman" w:hAnsi="Times New Roman" w:eastAsia="仿宋_GB2312" w:cs="Times New Roman"/>
                <w:bCs/>
                <w:sz w:val="28"/>
                <w:szCs w:val="28"/>
                <w:lang w:eastAsia="zh-CN"/>
              </w:rPr>
              <w:t>中药材货源相关情况</w:t>
            </w:r>
          </w:p>
        </w:tc>
        <w:tc>
          <w:tcPr>
            <w:tcW w:w="6945" w:type="dxa"/>
            <w:tcBorders>
              <w:top w:val="nil"/>
              <w:left w:val="nil"/>
              <w:bottom w:val="nil"/>
              <w:right w:val="nil"/>
            </w:tcBorders>
          </w:tcPr>
          <w:p>
            <w:pPr>
              <w:jc w:val="left"/>
              <w:rPr>
                <w:rFonts w:hint="default" w:ascii="Times New Roman" w:hAnsi="Times New Roman" w:eastAsia="仿宋_GB2312" w:cs="Times New Roman"/>
                <w:bCs/>
                <w:sz w:val="28"/>
                <w:szCs w:val="28"/>
              </w:rPr>
            </w:pPr>
            <w:r>
              <w:rPr>
                <w:rFonts w:hint="eastAsia" w:ascii="Times New Roman" w:hAnsi="Times New Roman" w:eastAsia="仿宋_GB2312" w:cs="Times New Roman"/>
                <w:bCs/>
                <w:sz w:val="28"/>
                <w:szCs w:val="28"/>
                <w:lang w:eastAsia="zh-CN"/>
              </w:rPr>
              <w:t>来自中药材生产企业</w:t>
            </w:r>
            <w:r>
              <w:rPr>
                <w:rFonts w:hint="eastAsia" w:ascii="Times New Roman" w:hAnsi="Times New Roman" w:eastAsia="仿宋_GB2312" w:cs="Times New Roman"/>
                <w:bCs/>
                <w:sz w:val="28"/>
                <w:szCs w:val="28"/>
                <w:lang w:val="en-US" w:eastAsia="zh-CN"/>
              </w:rPr>
              <w:t xml:space="preserve"> 是</w:t>
            </w:r>
            <w:r>
              <w:rPr>
                <w:rFonts w:hint="default" w:ascii="Times New Roman" w:hAnsi="Times New Roman" w:eastAsia="仿宋_GB2312" w:cs="Times New Roman"/>
                <w:bCs/>
                <w:sz w:val="28"/>
                <w:szCs w:val="28"/>
              </w:rPr>
              <w:t>□</w:t>
            </w:r>
          </w:p>
          <w:p>
            <w:pPr>
              <w:jc w:val="left"/>
              <w:rPr>
                <w:rFonts w:hint="eastAsia" w:ascii="Times New Roman" w:hAnsi="Times New Roman" w:eastAsia="仿宋_GB2312" w:cs="Times New Roman"/>
                <w:bCs/>
                <w:sz w:val="28"/>
                <w:szCs w:val="28"/>
                <w:lang w:eastAsia="zh-CN"/>
              </w:rPr>
            </w:pPr>
            <w:r>
              <w:rPr>
                <w:rFonts w:hint="eastAsia" w:ascii="Times New Roman" w:hAnsi="Times New Roman" w:eastAsia="仿宋_GB2312" w:cs="Times New Roman"/>
                <w:bCs/>
                <w:sz w:val="28"/>
                <w:szCs w:val="28"/>
                <w:lang w:eastAsia="zh-CN"/>
              </w:rPr>
              <w:t>中药材生产企业名称：</w:t>
            </w:r>
          </w:p>
          <w:p>
            <w:pPr>
              <w:jc w:val="left"/>
              <w:rPr>
                <w:rFonts w:hint="default" w:ascii="Times New Roman" w:hAnsi="Times New Roman" w:eastAsia="仿宋_GB2312" w:cs="Times New Roman"/>
                <w:bCs/>
                <w:sz w:val="28"/>
                <w:szCs w:val="28"/>
              </w:rPr>
            </w:pPr>
            <w:r>
              <w:rPr>
                <w:rFonts w:hint="eastAsia" w:ascii="Times New Roman" w:hAnsi="Times New Roman" w:eastAsia="仿宋_GB2312" w:cs="Times New Roman"/>
                <w:bCs/>
                <w:sz w:val="28"/>
                <w:szCs w:val="28"/>
                <w:lang w:eastAsia="zh-CN"/>
              </w:rPr>
              <w:t>来自非中药材生产企业</w:t>
            </w:r>
            <w:r>
              <w:rPr>
                <w:rFonts w:hint="eastAsia" w:ascii="Times New Roman" w:hAnsi="Times New Roman" w:eastAsia="仿宋_GB2312" w:cs="Times New Roman"/>
                <w:bCs/>
                <w:sz w:val="28"/>
                <w:szCs w:val="28"/>
                <w:lang w:val="en-US" w:eastAsia="zh-CN"/>
              </w:rPr>
              <w:t xml:space="preserve"> 是</w:t>
            </w:r>
            <w:r>
              <w:rPr>
                <w:rFonts w:hint="default" w:ascii="Times New Roman" w:hAnsi="Times New Roman" w:eastAsia="仿宋_GB2312" w:cs="Times New Roman"/>
                <w:bCs/>
                <w:sz w:val="28"/>
                <w:szCs w:val="28"/>
              </w:rPr>
              <w:t>□</w:t>
            </w:r>
          </w:p>
          <w:p>
            <w:pPr>
              <w:jc w:val="left"/>
              <w:rPr>
                <w:rFonts w:hint="eastAsia" w:ascii="Times New Roman" w:hAnsi="Times New Roman" w:eastAsia="仿宋_GB2312" w:cs="Times New Roman"/>
                <w:bCs/>
                <w:sz w:val="28"/>
                <w:szCs w:val="28"/>
                <w:lang w:val="en-US" w:eastAsia="zh-CN"/>
              </w:rPr>
            </w:pPr>
            <w:r>
              <w:rPr>
                <w:rFonts w:hint="eastAsia" w:ascii="Times New Roman" w:hAnsi="Times New Roman" w:eastAsia="仿宋_GB2312" w:cs="Times New Roman"/>
                <w:bCs/>
                <w:sz w:val="28"/>
                <w:szCs w:val="28"/>
                <w:lang w:eastAsia="zh-CN"/>
              </w:rPr>
              <w:t>中药材收购地址：具体到乡镇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85" w:type="dxa"/>
            <w:tcBorders>
              <w:top w:val="nil"/>
              <w:left w:val="nil"/>
              <w:bottom w:val="nil"/>
              <w:right w:val="nil"/>
            </w:tcBorders>
            <w:shd w:val="clear" w:color="auto" w:fill="auto"/>
          </w:tcPr>
          <w:p>
            <w:pPr>
              <w:jc w:val="distribute"/>
              <w:rPr>
                <w:rFonts w:hint="eastAsia" w:ascii="Times New Roman" w:hAnsi="Times New Roman" w:eastAsia="仿宋_GB2312" w:cs="Times New Roman"/>
                <w:bCs/>
                <w:sz w:val="28"/>
                <w:szCs w:val="28"/>
                <w:lang w:eastAsia="zh-CN"/>
              </w:rPr>
            </w:pPr>
            <w:r>
              <w:rPr>
                <w:rFonts w:hint="eastAsia" w:ascii="Times New Roman" w:hAnsi="Times New Roman" w:eastAsia="仿宋_GB2312" w:cs="Times New Roman"/>
                <w:bCs/>
                <w:sz w:val="28"/>
                <w:szCs w:val="28"/>
                <w:lang w:eastAsia="zh-CN"/>
              </w:rPr>
              <w:t>中药材加工情况</w:t>
            </w:r>
          </w:p>
        </w:tc>
        <w:tc>
          <w:tcPr>
            <w:tcW w:w="6945" w:type="dxa"/>
            <w:tcBorders>
              <w:top w:val="nil"/>
              <w:left w:val="nil"/>
              <w:bottom w:val="nil"/>
              <w:right w:val="nil"/>
            </w:tcBorders>
            <w:shd w:val="clear" w:color="auto" w:fill="auto"/>
          </w:tcPr>
          <w:p>
            <w:pPr>
              <w:jc w:val="left"/>
              <w:rPr>
                <w:rFonts w:hint="default" w:ascii="Times New Roman" w:hAnsi="Times New Roman" w:eastAsia="仿宋_GB2312" w:cs="Times New Roman"/>
                <w:bCs/>
                <w:sz w:val="28"/>
                <w:szCs w:val="28"/>
              </w:rPr>
            </w:pPr>
            <w:r>
              <w:rPr>
                <w:rFonts w:hint="eastAsia" w:ascii="Times New Roman" w:hAnsi="Times New Roman" w:eastAsia="仿宋_GB2312" w:cs="Times New Roman"/>
                <w:bCs/>
                <w:sz w:val="28"/>
                <w:szCs w:val="28"/>
                <w:lang w:eastAsia="zh-CN"/>
              </w:rPr>
              <w:t>中药生产企业加工</w:t>
            </w:r>
            <w:r>
              <w:rPr>
                <w:rFonts w:hint="eastAsia" w:ascii="Times New Roman" w:hAnsi="Times New Roman" w:eastAsia="仿宋_GB2312" w:cs="Times New Roman"/>
                <w:bCs/>
                <w:sz w:val="28"/>
                <w:szCs w:val="28"/>
                <w:lang w:val="en-US" w:eastAsia="zh-CN"/>
              </w:rPr>
              <w:t xml:space="preserve">  是</w:t>
            </w:r>
            <w:r>
              <w:rPr>
                <w:rFonts w:hint="default" w:ascii="Times New Roman" w:hAnsi="Times New Roman" w:eastAsia="仿宋_GB2312" w:cs="Times New Roman"/>
                <w:bCs/>
                <w:sz w:val="28"/>
                <w:szCs w:val="28"/>
              </w:rPr>
              <w:t>□</w:t>
            </w:r>
          </w:p>
          <w:p>
            <w:pPr>
              <w:jc w:val="left"/>
              <w:rPr>
                <w:rFonts w:hint="default" w:ascii="Times New Roman" w:hAnsi="Times New Roman" w:eastAsia="仿宋_GB2312" w:cs="Times New Roman"/>
                <w:bCs/>
                <w:sz w:val="28"/>
                <w:szCs w:val="28"/>
                <w:lang w:val="en-US" w:eastAsia="zh-CN"/>
              </w:rPr>
            </w:pPr>
            <w:r>
              <w:rPr>
                <w:rFonts w:hint="eastAsia" w:ascii="Times New Roman" w:hAnsi="Times New Roman" w:eastAsia="仿宋_GB2312" w:cs="Times New Roman"/>
                <w:bCs/>
                <w:sz w:val="28"/>
                <w:szCs w:val="28"/>
                <w:lang w:eastAsia="zh-CN"/>
              </w:rPr>
              <w:t>非中药材生产企业加工，无包装</w:t>
            </w:r>
            <w:r>
              <w:rPr>
                <w:rFonts w:hint="eastAsia" w:ascii="Times New Roman" w:hAnsi="Times New Roman" w:eastAsia="仿宋_GB2312" w:cs="Times New Roman"/>
                <w:bCs/>
                <w:sz w:val="28"/>
                <w:szCs w:val="28"/>
                <w:lang w:val="en-US" w:eastAsia="zh-CN"/>
              </w:rPr>
              <w:t xml:space="preserve"> 是</w:t>
            </w:r>
            <w:r>
              <w:rPr>
                <w:rFonts w:hint="default" w:ascii="Times New Roman" w:hAnsi="Times New Roman" w:eastAsia="仿宋_GB2312" w:cs="Times New Roman"/>
                <w:bCs/>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85" w:type="dxa"/>
            <w:tcBorders>
              <w:top w:val="nil"/>
              <w:left w:val="nil"/>
              <w:bottom w:val="nil"/>
              <w:right w:val="nil"/>
            </w:tcBorders>
            <w:shd w:val="clear" w:color="auto" w:fill="auto"/>
          </w:tcPr>
          <w:p>
            <w:pPr>
              <w:jc w:val="distribute"/>
              <w:rPr>
                <w:rFonts w:hint="eastAsia" w:ascii="Times New Roman" w:hAnsi="Times New Roman" w:eastAsia="仿宋_GB2312" w:cs="Times New Roman"/>
                <w:bCs/>
                <w:sz w:val="28"/>
                <w:szCs w:val="28"/>
                <w:lang w:eastAsia="zh-CN"/>
              </w:rPr>
            </w:pPr>
            <w:r>
              <w:rPr>
                <w:rFonts w:hint="eastAsia" w:ascii="Times New Roman" w:hAnsi="Times New Roman" w:eastAsia="仿宋_GB2312" w:cs="Times New Roman"/>
                <w:bCs/>
                <w:sz w:val="28"/>
                <w:szCs w:val="28"/>
                <w:lang w:eastAsia="zh-CN"/>
              </w:rPr>
              <w:t>中药材仓储情况</w:t>
            </w:r>
          </w:p>
        </w:tc>
        <w:tc>
          <w:tcPr>
            <w:tcW w:w="6945" w:type="dxa"/>
            <w:tcBorders>
              <w:top w:val="nil"/>
              <w:left w:val="nil"/>
              <w:bottom w:val="nil"/>
              <w:right w:val="nil"/>
            </w:tcBorders>
            <w:shd w:val="clear" w:color="auto" w:fill="auto"/>
          </w:tcPr>
          <w:p>
            <w:pPr>
              <w:jc w:val="left"/>
              <w:rPr>
                <w:rFonts w:hint="eastAsia" w:ascii="Times New Roman" w:hAnsi="Times New Roman" w:eastAsia="仿宋_GB2312" w:cs="Times New Roman"/>
                <w:bCs/>
                <w:sz w:val="28"/>
                <w:szCs w:val="28"/>
                <w:lang w:eastAsia="zh-CN"/>
              </w:rPr>
            </w:pPr>
            <w:r>
              <w:rPr>
                <w:rFonts w:hint="eastAsia" w:ascii="Times New Roman" w:hAnsi="Times New Roman" w:eastAsia="仿宋_GB2312" w:cs="Times New Roman"/>
                <w:bCs/>
                <w:sz w:val="28"/>
                <w:szCs w:val="28"/>
                <w:lang w:eastAsia="zh-CN"/>
              </w:rPr>
              <w:t>中药材仓储地址：（仓库所在地门牌号）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85" w:type="dxa"/>
            <w:tcBorders>
              <w:top w:val="nil"/>
              <w:left w:val="nil"/>
              <w:bottom w:val="nil"/>
              <w:right w:val="nil"/>
            </w:tcBorders>
            <w:shd w:val="clear" w:color="auto" w:fill="auto"/>
          </w:tcPr>
          <w:p>
            <w:pPr>
              <w:jc w:val="distribute"/>
              <w:rPr>
                <w:rFonts w:hint="eastAsia" w:ascii="Times New Roman" w:hAnsi="Times New Roman" w:eastAsia="仿宋_GB2312" w:cs="Times New Roman"/>
                <w:bCs/>
                <w:sz w:val="28"/>
                <w:szCs w:val="28"/>
                <w:lang w:eastAsia="zh-CN"/>
              </w:rPr>
            </w:pPr>
            <w:r>
              <w:rPr>
                <w:rFonts w:hint="default" w:ascii="Times New Roman" w:hAnsi="Times New Roman" w:eastAsia="仿宋_GB2312" w:cs="Times New Roman"/>
                <w:bCs/>
                <w:sz w:val="28"/>
                <w:szCs w:val="28"/>
              </w:rPr>
              <w:t>中药材</w:t>
            </w:r>
            <w:r>
              <w:rPr>
                <w:rFonts w:hint="eastAsia" w:ascii="Times New Roman" w:hAnsi="Times New Roman" w:eastAsia="仿宋_GB2312" w:cs="Times New Roman"/>
                <w:bCs/>
                <w:sz w:val="28"/>
                <w:szCs w:val="28"/>
                <w:lang w:eastAsia="zh-CN"/>
              </w:rPr>
              <w:t>名称</w:t>
            </w:r>
          </w:p>
        </w:tc>
        <w:tc>
          <w:tcPr>
            <w:tcW w:w="6945" w:type="dxa"/>
            <w:tcBorders>
              <w:top w:val="nil"/>
              <w:left w:val="nil"/>
              <w:bottom w:val="nil"/>
              <w:right w:val="nil"/>
            </w:tcBorders>
            <w:shd w:val="clear" w:color="auto" w:fill="auto"/>
          </w:tcPr>
          <w:p>
            <w:pPr>
              <w:jc w:val="left"/>
              <w:rPr>
                <w:rFonts w:hint="default" w:ascii="Times New Roman" w:hAnsi="Times New Roman" w:eastAsia="仿宋_GB2312" w:cs="Times New Roman"/>
                <w:bCs/>
                <w:sz w:val="28"/>
                <w:szCs w:val="28"/>
              </w:rPr>
            </w:pPr>
            <w:r>
              <w:rPr>
                <w:rFonts w:hint="eastAsia" w:ascii="Times New Roman" w:hAnsi="Times New Roman" w:eastAsia="仿宋_GB2312" w:cs="Times New Roman"/>
                <w:bCs/>
                <w:sz w:val="28"/>
                <w:szCs w:val="28"/>
                <w:lang w:eastAsia="zh-CN"/>
              </w:rPr>
              <w:t>（可以是多个品种一并审核）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85" w:type="dxa"/>
            <w:tcBorders>
              <w:top w:val="nil"/>
              <w:left w:val="nil"/>
              <w:bottom w:val="nil"/>
              <w:right w:val="nil"/>
            </w:tcBorders>
            <w:shd w:val="clear" w:color="auto" w:fill="auto"/>
          </w:tcPr>
          <w:p>
            <w:pPr>
              <w:jc w:val="distribute"/>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审核人员</w:t>
            </w:r>
          </w:p>
        </w:tc>
        <w:tc>
          <w:tcPr>
            <w:tcW w:w="6945" w:type="dxa"/>
            <w:tcBorders>
              <w:top w:val="nil"/>
              <w:left w:val="nil"/>
              <w:bottom w:val="nil"/>
              <w:right w:val="nil"/>
            </w:tcBorders>
            <w:shd w:val="clear" w:color="auto" w:fill="auto"/>
          </w:tcPr>
          <w:p>
            <w:pPr>
              <w:jc w:val="left"/>
              <w:rPr>
                <w:rFonts w:hint="default" w:ascii="Times New Roman" w:hAnsi="Times New Roman" w:eastAsia="仿宋_GB2312"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85" w:type="dxa"/>
            <w:vMerge w:val="restart"/>
            <w:tcBorders>
              <w:top w:val="nil"/>
              <w:left w:val="nil"/>
              <w:right w:val="nil"/>
            </w:tcBorders>
            <w:shd w:val="clear" w:color="auto" w:fill="auto"/>
            <w:vAlign w:val="center"/>
          </w:tcPr>
          <w:p>
            <w:pPr>
              <w:jc w:val="center"/>
              <w:rPr>
                <w:rFonts w:hint="eastAsia" w:ascii="Times New Roman" w:hAnsi="Times New Roman" w:eastAsia="仿宋_GB2312" w:cs="Times New Roman"/>
                <w:bCs/>
                <w:sz w:val="28"/>
                <w:szCs w:val="28"/>
                <w:lang w:eastAsia="zh-CN"/>
              </w:rPr>
            </w:pPr>
            <w:r>
              <w:rPr>
                <w:rFonts w:hint="default" w:ascii="Times New Roman" w:hAnsi="Times New Roman" w:eastAsia="仿宋_GB2312" w:cs="Times New Roman"/>
                <w:bCs/>
                <w:sz w:val="28"/>
                <w:szCs w:val="28"/>
              </w:rPr>
              <w:t>审核类型</w:t>
            </w:r>
          </w:p>
        </w:tc>
        <w:tc>
          <w:tcPr>
            <w:tcW w:w="6945" w:type="dxa"/>
            <w:tcBorders>
              <w:top w:val="nil"/>
              <w:left w:val="nil"/>
              <w:bottom w:val="nil"/>
              <w:right w:val="nil"/>
            </w:tcBorders>
            <w:shd w:val="clear" w:color="auto" w:fill="auto"/>
            <w:vAlign w:val="top"/>
          </w:tcPr>
          <w:p>
            <w:pPr>
              <w:jc w:val="left"/>
              <w:rPr>
                <w:rFonts w:hint="default" w:ascii="Times New Roman" w:hAnsi="Times New Roman" w:eastAsia="仿宋_GB2312" w:cs="Times New Roman"/>
                <w:bCs/>
                <w:sz w:val="28"/>
                <w:szCs w:val="28"/>
                <w:lang w:val="en-US" w:eastAsia="zh-CN"/>
              </w:rPr>
            </w:pPr>
            <w:r>
              <w:rPr>
                <w:rFonts w:hint="eastAsia" w:ascii="Times New Roman" w:hAnsi="Times New Roman" w:eastAsia="仿宋_GB2312" w:cs="Times New Roman"/>
                <w:bCs/>
                <w:sz w:val="28"/>
                <w:szCs w:val="28"/>
                <w:lang w:eastAsia="zh-CN"/>
              </w:rPr>
              <w:t>常规审核：首次审核</w:t>
            </w:r>
            <w:r>
              <w:rPr>
                <w:rFonts w:hint="default" w:ascii="Times New Roman" w:hAnsi="Times New Roman" w:eastAsia="仿宋_GB2312" w:cs="Times New Roman"/>
                <w:bCs/>
                <w:sz w:val="28"/>
                <w:szCs w:val="28"/>
              </w:rPr>
              <w:t xml:space="preserve"> □</w:t>
            </w:r>
            <w:r>
              <w:rPr>
                <w:rFonts w:hint="eastAsia" w:ascii="Times New Roman" w:hAnsi="Times New Roman" w:eastAsia="仿宋_GB2312" w:cs="Times New Roman"/>
                <w:bCs/>
                <w:sz w:val="28"/>
                <w:szCs w:val="28"/>
                <w:lang w:val="en-US" w:eastAsia="zh-CN"/>
              </w:rPr>
              <w:t xml:space="preserve">   定期审核</w:t>
            </w:r>
            <w:r>
              <w:rPr>
                <w:rFonts w:hint="default" w:ascii="Times New Roman" w:hAnsi="Times New Roman" w:eastAsia="仿宋_GB2312" w:cs="Times New Roman"/>
                <w:bCs/>
                <w:sz w:val="28"/>
                <w:szCs w:val="28"/>
              </w:rPr>
              <w:t>□</w:t>
            </w:r>
          </w:p>
          <w:p>
            <w:pPr>
              <w:ind w:firstLine="0" w:firstLineChars="0"/>
              <w:jc w:val="left"/>
              <w:rPr>
                <w:rFonts w:hint="default" w:ascii="Times New Roman" w:hAnsi="Times New Roman" w:eastAsia="仿宋_GB2312" w:cs="Times New Roman"/>
                <w:bCs/>
                <w:sz w:val="28"/>
                <w:szCs w:val="28"/>
              </w:rPr>
            </w:pPr>
            <w:r>
              <w:rPr>
                <w:rFonts w:hint="eastAsia" w:ascii="Times New Roman" w:hAnsi="Times New Roman" w:eastAsia="仿宋_GB2312" w:cs="Times New Roman"/>
                <w:bCs/>
                <w:sz w:val="28"/>
                <w:szCs w:val="28"/>
                <w:lang w:eastAsia="zh-CN"/>
              </w:rPr>
              <w:t>有因审核</w:t>
            </w:r>
            <w:r>
              <w:rPr>
                <w:rFonts w:hint="default" w:ascii="Times New Roman" w:hAnsi="Times New Roman" w:eastAsia="仿宋_GB2312" w:cs="Times New Roman"/>
                <w:bCs/>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85" w:type="dxa"/>
            <w:vMerge w:val="continue"/>
            <w:tcBorders>
              <w:left w:val="nil"/>
              <w:bottom w:val="nil"/>
              <w:right w:val="nil"/>
            </w:tcBorders>
            <w:shd w:val="clear" w:color="auto" w:fill="auto"/>
          </w:tcPr>
          <w:p>
            <w:pPr>
              <w:jc w:val="distribute"/>
              <w:rPr>
                <w:rFonts w:hint="eastAsia" w:ascii="Times New Roman" w:hAnsi="Times New Roman" w:eastAsia="仿宋_GB2312" w:cs="Times New Roman"/>
                <w:bCs/>
                <w:sz w:val="28"/>
                <w:szCs w:val="28"/>
                <w:lang w:eastAsia="zh-CN"/>
              </w:rPr>
            </w:pPr>
          </w:p>
        </w:tc>
        <w:tc>
          <w:tcPr>
            <w:tcW w:w="6945" w:type="dxa"/>
            <w:tcBorders>
              <w:top w:val="nil"/>
              <w:left w:val="nil"/>
              <w:bottom w:val="nil"/>
              <w:right w:val="nil"/>
            </w:tcBorders>
            <w:shd w:val="clear" w:color="auto" w:fill="auto"/>
            <w:vAlign w:val="top"/>
          </w:tcPr>
          <w:p>
            <w:pPr>
              <w:jc w:val="both"/>
              <w:rPr>
                <w:rFonts w:hint="default" w:ascii="Times New Roman" w:hAnsi="Times New Roman" w:eastAsia="仿宋_GB2312" w:cs="Times New Roman"/>
                <w:bCs/>
                <w:sz w:val="28"/>
                <w:szCs w:val="28"/>
              </w:rPr>
            </w:pPr>
            <w:r>
              <w:rPr>
                <w:rFonts w:hint="eastAsia" w:ascii="Times New Roman" w:hAnsi="Times New Roman" w:eastAsia="仿宋_GB2312" w:cs="Times New Roman"/>
                <w:bCs/>
                <w:sz w:val="28"/>
                <w:szCs w:val="28"/>
                <w:lang w:eastAsia="zh-CN"/>
              </w:rPr>
              <w:t>是否现场审核</w:t>
            </w:r>
            <w:r>
              <w:rPr>
                <w:rFonts w:hint="eastAsia" w:ascii="Times New Roman" w:hAnsi="Times New Roman" w:eastAsia="仿宋_GB2312" w:cs="Times New Roman"/>
                <w:bCs/>
                <w:sz w:val="28"/>
                <w:szCs w:val="28"/>
                <w:lang w:val="en-US" w:eastAsia="zh-CN"/>
              </w:rPr>
              <w:t xml:space="preserve">   是</w:t>
            </w:r>
            <w:r>
              <w:rPr>
                <w:rFonts w:hint="default" w:ascii="Times New Roman" w:hAnsi="Times New Roman" w:eastAsia="仿宋_GB2312" w:cs="Times New Roman"/>
                <w:bCs/>
                <w:sz w:val="28"/>
                <w:szCs w:val="28"/>
              </w:rPr>
              <w:t xml:space="preserve">□ </w:t>
            </w:r>
            <w:r>
              <w:rPr>
                <w:rFonts w:hint="eastAsia" w:ascii="Times New Roman" w:hAnsi="Times New Roman" w:eastAsia="仿宋_GB2312" w:cs="Times New Roman"/>
                <w:bCs/>
                <w:sz w:val="28"/>
                <w:szCs w:val="28"/>
                <w:lang w:val="en-US" w:eastAsia="zh-CN"/>
              </w:rPr>
              <w:t xml:space="preserve"> 否</w:t>
            </w:r>
            <w:r>
              <w:rPr>
                <w:rFonts w:hint="default" w:ascii="Times New Roman" w:hAnsi="Times New Roman" w:eastAsia="仿宋_GB2312" w:cs="Times New Roman"/>
                <w:bCs/>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85" w:type="dxa"/>
            <w:tcBorders>
              <w:top w:val="nil"/>
              <w:left w:val="nil"/>
              <w:bottom w:val="nil"/>
              <w:right w:val="nil"/>
            </w:tcBorders>
            <w:shd w:val="clear" w:color="auto" w:fill="auto"/>
          </w:tcPr>
          <w:p>
            <w:pPr>
              <w:jc w:val="distribute"/>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审核时间</w:t>
            </w:r>
          </w:p>
        </w:tc>
        <w:tc>
          <w:tcPr>
            <w:tcW w:w="6945" w:type="dxa"/>
            <w:tcBorders>
              <w:top w:val="nil"/>
              <w:left w:val="nil"/>
              <w:bottom w:val="nil"/>
              <w:right w:val="nil"/>
            </w:tcBorders>
            <w:shd w:val="clear" w:color="auto" w:fill="auto"/>
          </w:tcPr>
          <w:p>
            <w:pPr>
              <w:jc w:val="left"/>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 xml:space="preserve">    年    月    日至    年    月    日</w:t>
            </w:r>
          </w:p>
        </w:tc>
      </w:tr>
    </w:tbl>
    <w:p>
      <w:pPr>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br w:type="page"/>
      </w:r>
    </w:p>
    <w:tbl>
      <w:tblPr>
        <w:tblStyle w:val="11"/>
        <w:tblW w:w="79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2" w:type="dxa"/>
          <w:left w:w="64" w:type="dxa"/>
          <w:bottom w:w="32" w:type="dxa"/>
          <w:right w:w="64" w:type="dxa"/>
        </w:tblCellMar>
      </w:tblPr>
      <w:tblGrid>
        <w:gridCol w:w="680"/>
        <w:gridCol w:w="1310"/>
        <w:gridCol w:w="976"/>
        <w:gridCol w:w="3264"/>
        <w:gridCol w:w="1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blHeader/>
          <w:jc w:val="center"/>
        </w:trPr>
        <w:tc>
          <w:tcPr>
            <w:tcW w:w="680" w:type="dxa"/>
            <w:shd w:val="clear" w:color="auto" w:fill="BEBEBE" w:themeFill="background1" w:themeFillShade="BF"/>
            <w:vAlign w:val="center"/>
          </w:tcPr>
          <w:p>
            <w:pPr>
              <w:snapToGrid w:val="0"/>
              <w:jc w:val="center"/>
              <w:rPr>
                <w:rFonts w:hint="default" w:ascii="Times New Roman" w:hAnsi="Times New Roman" w:eastAsia="黑体" w:cs="Times New Roman"/>
                <w:b/>
                <w:sz w:val="24"/>
                <w:szCs w:val="24"/>
              </w:rPr>
            </w:pPr>
            <w:r>
              <w:rPr>
                <w:rFonts w:hint="default" w:ascii="Times New Roman" w:hAnsi="Times New Roman" w:eastAsia="黑体" w:cs="Times New Roman"/>
                <w:b/>
                <w:sz w:val="24"/>
                <w:szCs w:val="24"/>
              </w:rPr>
              <w:t>序号</w:t>
            </w:r>
          </w:p>
        </w:tc>
        <w:tc>
          <w:tcPr>
            <w:tcW w:w="1310" w:type="dxa"/>
            <w:shd w:val="clear" w:color="auto" w:fill="BEBEBE" w:themeFill="background1" w:themeFillShade="BF"/>
            <w:vAlign w:val="center"/>
          </w:tcPr>
          <w:p>
            <w:pPr>
              <w:snapToGrid w:val="0"/>
              <w:jc w:val="center"/>
              <w:rPr>
                <w:rFonts w:hint="default" w:ascii="Times New Roman" w:hAnsi="Times New Roman" w:eastAsia="黑体" w:cs="Times New Roman"/>
                <w:b/>
                <w:sz w:val="24"/>
                <w:szCs w:val="24"/>
              </w:rPr>
            </w:pPr>
            <w:r>
              <w:rPr>
                <w:rFonts w:hint="default" w:ascii="Times New Roman" w:hAnsi="Times New Roman" w:eastAsia="黑体" w:cs="Times New Roman"/>
                <w:b/>
                <w:sz w:val="24"/>
                <w:szCs w:val="24"/>
              </w:rPr>
              <w:t>审查项</w:t>
            </w:r>
          </w:p>
        </w:tc>
        <w:tc>
          <w:tcPr>
            <w:tcW w:w="4240" w:type="dxa"/>
            <w:gridSpan w:val="2"/>
            <w:shd w:val="clear" w:color="auto" w:fill="BEBEBE" w:themeFill="background1" w:themeFillShade="BF"/>
            <w:vAlign w:val="center"/>
          </w:tcPr>
          <w:p>
            <w:pPr>
              <w:snapToGrid w:val="0"/>
              <w:jc w:val="center"/>
              <w:rPr>
                <w:rFonts w:hint="default" w:ascii="Times New Roman" w:hAnsi="Times New Roman" w:eastAsia="黑体" w:cs="Times New Roman"/>
                <w:b/>
                <w:sz w:val="24"/>
                <w:szCs w:val="24"/>
              </w:rPr>
            </w:pPr>
            <w:r>
              <w:rPr>
                <w:rFonts w:hint="default" w:ascii="Times New Roman" w:hAnsi="Times New Roman" w:eastAsia="黑体" w:cs="Times New Roman"/>
                <w:b/>
                <w:sz w:val="24"/>
                <w:szCs w:val="24"/>
              </w:rPr>
              <w:t>审核要求</w:t>
            </w:r>
          </w:p>
        </w:tc>
        <w:tc>
          <w:tcPr>
            <w:tcW w:w="1762" w:type="dxa"/>
            <w:shd w:val="clear" w:color="auto" w:fill="BEBEBE" w:themeFill="background1" w:themeFillShade="BF"/>
            <w:vAlign w:val="center"/>
          </w:tcPr>
          <w:p>
            <w:pPr>
              <w:snapToGrid w:val="0"/>
              <w:jc w:val="center"/>
              <w:rPr>
                <w:rFonts w:hint="default" w:ascii="Times New Roman" w:hAnsi="Times New Roman" w:eastAsia="黑体" w:cs="Times New Roman"/>
                <w:b/>
                <w:sz w:val="24"/>
                <w:szCs w:val="24"/>
              </w:rPr>
            </w:pPr>
            <w:r>
              <w:rPr>
                <w:rFonts w:hint="default" w:ascii="Times New Roman" w:hAnsi="Times New Roman" w:eastAsia="黑体" w:cs="Times New Roman"/>
                <w:b/>
                <w:sz w:val="24"/>
                <w:szCs w:val="24"/>
              </w:rPr>
              <w:t>审核情况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207" w:hRule="atLeast"/>
          <w:jc w:val="center"/>
        </w:trPr>
        <w:tc>
          <w:tcPr>
            <w:tcW w:w="680" w:type="dxa"/>
            <w:shd w:val="clear" w:color="auto" w:fill="auto"/>
            <w:vAlign w:val="center"/>
          </w:tcPr>
          <w:p>
            <w:pPr>
              <w:snapToGrid w:val="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1</w:t>
            </w:r>
          </w:p>
        </w:tc>
        <w:tc>
          <w:tcPr>
            <w:tcW w:w="1310" w:type="dxa"/>
            <w:shd w:val="clear" w:color="auto" w:fill="auto"/>
            <w:vAlign w:val="center"/>
          </w:tcPr>
          <w:p>
            <w:pPr>
              <w:snapToGrid w:val="0"/>
              <w:spacing w:line="360" w:lineRule="exact"/>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资质证明</w:t>
            </w:r>
          </w:p>
        </w:tc>
        <w:tc>
          <w:tcPr>
            <w:tcW w:w="4240" w:type="dxa"/>
            <w:gridSpan w:val="2"/>
          </w:tcPr>
          <w:p>
            <w:pPr>
              <w:pStyle w:val="16"/>
              <w:shd w:val="clear" w:color="auto" w:fill="FFFFFF"/>
              <w:snapToGrid w:val="0"/>
              <w:spacing w:line="360" w:lineRule="exact"/>
              <w:ind w:firstLine="0" w:firstLineChars="0"/>
              <w:contextualSpacing/>
              <w:jc w:val="left"/>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取得《营业执照》，含农副产品、中药材等登记范围，经营医疗用毒性药品</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lang w:val="en-US" w:eastAsia="zh-CN"/>
              </w:rPr>
              <w:t>进口药材</w:t>
            </w:r>
            <w:r>
              <w:rPr>
                <w:rFonts w:hint="default" w:ascii="Times New Roman" w:hAnsi="Times New Roman" w:eastAsia="仿宋_GB2312" w:cs="Times New Roman"/>
                <w:color w:val="auto"/>
                <w:sz w:val="24"/>
                <w:szCs w:val="24"/>
              </w:rPr>
              <w:t>等有特殊</w:t>
            </w:r>
            <w:r>
              <w:rPr>
                <w:rFonts w:hint="default" w:ascii="Times New Roman" w:hAnsi="Times New Roman" w:eastAsia="仿宋_GB2312" w:cs="Times New Roman"/>
                <w:sz w:val="24"/>
                <w:szCs w:val="24"/>
              </w:rPr>
              <w:t>管理要求的中药材，应符合国家有关规定。</w:t>
            </w:r>
          </w:p>
        </w:tc>
        <w:tc>
          <w:tcPr>
            <w:tcW w:w="1762" w:type="dxa"/>
          </w:tcPr>
          <w:p>
            <w:pPr>
              <w:snapToGrid w:val="0"/>
              <w:jc w:val="center"/>
              <w:rPr>
                <w:rFonts w:hint="default"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207" w:hRule="atLeast"/>
          <w:jc w:val="center"/>
        </w:trPr>
        <w:tc>
          <w:tcPr>
            <w:tcW w:w="680" w:type="dxa"/>
            <w:shd w:val="clear" w:color="auto" w:fill="auto"/>
            <w:vAlign w:val="center"/>
          </w:tcPr>
          <w:p>
            <w:pPr>
              <w:snapToGrid w:val="0"/>
              <w:jc w:val="center"/>
              <w:rPr>
                <w:rFonts w:hint="eastAsia" w:ascii="Times New Roman" w:hAnsi="Times New Roman" w:eastAsia="仿宋_GB2312" w:cs="Times New Roman"/>
                <w:bCs/>
                <w:sz w:val="24"/>
                <w:lang w:val="en-US" w:eastAsia="zh-CN"/>
              </w:rPr>
            </w:pPr>
            <w:r>
              <w:rPr>
                <w:rFonts w:hint="eastAsia" w:ascii="Times New Roman" w:hAnsi="Times New Roman" w:eastAsia="仿宋_GB2312" w:cs="Times New Roman"/>
                <w:bCs/>
                <w:sz w:val="24"/>
                <w:lang w:val="en-US" w:eastAsia="zh-CN"/>
              </w:rPr>
              <w:t>2</w:t>
            </w:r>
          </w:p>
        </w:tc>
        <w:tc>
          <w:tcPr>
            <w:tcW w:w="1310" w:type="dxa"/>
            <w:shd w:val="clear" w:color="auto" w:fill="auto"/>
            <w:vAlign w:val="center"/>
          </w:tcPr>
          <w:p>
            <w:pPr>
              <w:pStyle w:val="16"/>
              <w:shd w:val="clear" w:color="auto" w:fill="FFFFFF"/>
              <w:snapToGrid w:val="0"/>
              <w:spacing w:line="360" w:lineRule="exact"/>
              <w:ind w:firstLine="0" w:firstLineChars="0"/>
              <w:contextualSpacing/>
              <w:jc w:val="center"/>
              <w:rPr>
                <w:rFonts w:hint="eastAsia" w:ascii="Times New Roman" w:hAnsi="Times New Roman" w:eastAsia="仿宋_GB2312" w:cs="Times New Roman"/>
                <w:bCs/>
                <w:sz w:val="24"/>
                <w:lang w:eastAsia="zh-CN"/>
              </w:rPr>
            </w:pPr>
            <w:r>
              <w:rPr>
                <w:rFonts w:hint="eastAsia" w:eastAsia="仿宋_GB2312" w:cs="Times New Roman"/>
                <w:bCs/>
                <w:sz w:val="24"/>
                <w:szCs w:val="24"/>
                <w:lang w:eastAsia="zh-CN"/>
              </w:rPr>
              <w:t>中药材来源佐证材料</w:t>
            </w:r>
          </w:p>
        </w:tc>
        <w:tc>
          <w:tcPr>
            <w:tcW w:w="4240" w:type="dxa"/>
            <w:gridSpan w:val="2"/>
            <w:vAlign w:val="center"/>
          </w:tcPr>
          <w:p>
            <w:pPr>
              <w:pStyle w:val="16"/>
              <w:shd w:val="clear" w:color="auto" w:fill="FFFFFF"/>
              <w:snapToGrid w:val="0"/>
              <w:spacing w:line="360" w:lineRule="exact"/>
              <w:ind w:firstLine="0" w:firstLineChars="0"/>
              <w:contextualSpacing/>
              <w:jc w:val="left"/>
              <w:rPr>
                <w:rFonts w:hint="default" w:ascii="Times New Roman" w:hAnsi="Times New Roman" w:eastAsia="仿宋_GB2312" w:cs="Times New Roman"/>
                <w:bCs/>
                <w:sz w:val="24"/>
                <w:szCs w:val="24"/>
              </w:rPr>
            </w:pPr>
            <w:r>
              <w:rPr>
                <w:rFonts w:hint="default" w:ascii="Times New Roman" w:hAnsi="Times New Roman" w:eastAsia="仿宋_GB2312" w:cs="Times New Roman"/>
                <w:bCs/>
                <w:sz w:val="24"/>
                <w:szCs w:val="24"/>
              </w:rPr>
              <w:t>提供中药材</w:t>
            </w:r>
            <w:r>
              <w:rPr>
                <w:rFonts w:hint="eastAsia" w:eastAsia="仿宋_GB2312" w:cs="Times New Roman"/>
                <w:bCs/>
                <w:sz w:val="24"/>
                <w:szCs w:val="24"/>
                <w:lang w:eastAsia="zh-CN"/>
              </w:rPr>
              <w:t>依法合规来源</w:t>
            </w:r>
            <w:r>
              <w:rPr>
                <w:rFonts w:hint="default" w:ascii="Times New Roman" w:hAnsi="Times New Roman" w:eastAsia="仿宋_GB2312" w:cs="Times New Roman"/>
                <w:bCs/>
                <w:sz w:val="24"/>
                <w:szCs w:val="24"/>
              </w:rPr>
              <w:t>的佐证材料。</w:t>
            </w:r>
          </w:p>
          <w:p>
            <w:pPr>
              <w:pStyle w:val="16"/>
              <w:shd w:val="clear" w:color="auto" w:fill="FFFFFF"/>
              <w:snapToGrid w:val="0"/>
              <w:spacing w:line="360" w:lineRule="exact"/>
              <w:ind w:firstLine="0" w:firstLineChars="0"/>
              <w:contextualSpacing/>
              <w:jc w:val="left"/>
              <w:rPr>
                <w:rFonts w:hint="default" w:ascii="Times New Roman" w:hAnsi="Times New Roman" w:eastAsia="仿宋_GB2312" w:cs="Times New Roman"/>
                <w:bCs/>
                <w:sz w:val="24"/>
                <w:szCs w:val="24"/>
              </w:rPr>
            </w:pPr>
            <w:r>
              <w:rPr>
                <w:rFonts w:hint="default" w:ascii="Times New Roman" w:hAnsi="Times New Roman" w:eastAsia="仿宋_GB2312" w:cs="Times New Roman"/>
                <w:bCs/>
                <w:sz w:val="24"/>
                <w:szCs w:val="24"/>
              </w:rPr>
              <w:t>1.</w:t>
            </w:r>
            <w:r>
              <w:rPr>
                <w:rFonts w:hint="default" w:ascii="Times New Roman" w:hAnsi="Times New Roman" w:eastAsia="仿宋_GB2312" w:cs="Times New Roman"/>
                <w:sz w:val="24"/>
                <w:szCs w:val="24"/>
              </w:rPr>
              <w:t>由中药材生产企业处</w:t>
            </w:r>
            <w:r>
              <w:rPr>
                <w:rFonts w:hint="eastAsia" w:eastAsia="仿宋_GB2312" w:cs="Times New Roman"/>
                <w:sz w:val="24"/>
                <w:szCs w:val="24"/>
                <w:lang w:eastAsia="zh-CN"/>
              </w:rPr>
              <w:t>采购的，应提供中药材生产企业名称、营业执照复印件、生产加工地址、仓储地址，采购品种、批次、数量等采购台账。</w:t>
            </w:r>
          </w:p>
          <w:p>
            <w:pPr>
              <w:pStyle w:val="16"/>
              <w:shd w:val="clear" w:color="auto" w:fill="FFFFFF"/>
              <w:snapToGrid w:val="0"/>
              <w:spacing w:line="360" w:lineRule="exact"/>
              <w:ind w:firstLine="0" w:firstLineChars="0"/>
              <w:contextualSpacing/>
              <w:jc w:val="left"/>
              <w:rPr>
                <w:rFonts w:hint="default" w:ascii="Times New Roman" w:hAnsi="Times New Roman" w:eastAsia="仿宋_GB2312" w:cs="Times New Roman"/>
                <w:bCs/>
                <w:sz w:val="24"/>
                <w:szCs w:val="24"/>
              </w:rPr>
            </w:pPr>
            <w:r>
              <w:rPr>
                <w:rFonts w:hint="default" w:ascii="Times New Roman" w:hAnsi="Times New Roman" w:eastAsia="仿宋_GB2312" w:cs="Times New Roman"/>
                <w:bCs/>
                <w:sz w:val="24"/>
                <w:szCs w:val="24"/>
              </w:rPr>
              <w:t>2.</w:t>
            </w:r>
            <w:r>
              <w:rPr>
                <w:rFonts w:hint="eastAsia" w:eastAsia="仿宋_GB2312" w:cs="Times New Roman"/>
                <w:bCs/>
                <w:sz w:val="24"/>
                <w:szCs w:val="24"/>
                <w:lang w:eastAsia="zh-CN"/>
              </w:rPr>
              <w:t>由种植</w:t>
            </w:r>
            <w:r>
              <w:rPr>
                <w:rFonts w:hint="default" w:ascii="Times New Roman" w:hAnsi="Times New Roman" w:eastAsia="仿宋_GB2312" w:cs="Times New Roman"/>
                <w:bCs/>
                <w:sz w:val="24"/>
                <w:szCs w:val="24"/>
              </w:rPr>
              <w:t>农户</w:t>
            </w:r>
            <w:r>
              <w:rPr>
                <w:rFonts w:hint="eastAsia" w:eastAsia="仿宋_GB2312" w:cs="Times New Roman"/>
                <w:bCs/>
                <w:sz w:val="24"/>
                <w:szCs w:val="24"/>
                <w:lang w:eastAsia="zh-CN"/>
              </w:rPr>
              <w:t>处收购</w:t>
            </w:r>
            <w:r>
              <w:rPr>
                <w:rFonts w:hint="default" w:ascii="Times New Roman" w:hAnsi="Times New Roman" w:eastAsia="仿宋_GB2312" w:cs="Times New Roman"/>
                <w:bCs/>
                <w:sz w:val="24"/>
                <w:szCs w:val="24"/>
              </w:rPr>
              <w:t>的，需提供种植农户的姓名</w:t>
            </w:r>
            <w:r>
              <w:rPr>
                <w:rFonts w:hint="eastAsia" w:eastAsia="仿宋_GB2312" w:cs="Times New Roman"/>
                <w:bCs/>
                <w:sz w:val="24"/>
                <w:szCs w:val="24"/>
                <w:lang w:eastAsia="zh-CN"/>
              </w:rPr>
              <w:t>及</w:t>
            </w:r>
            <w:r>
              <w:rPr>
                <w:rFonts w:hint="default" w:ascii="Times New Roman" w:hAnsi="Times New Roman" w:eastAsia="仿宋_GB2312" w:cs="Times New Roman"/>
                <w:bCs/>
                <w:sz w:val="24"/>
                <w:szCs w:val="24"/>
              </w:rPr>
              <w:t>联系方式、种植地块详细信息（具体到村组）及药材收购台账。</w:t>
            </w:r>
          </w:p>
          <w:p>
            <w:pPr>
              <w:pStyle w:val="16"/>
              <w:shd w:val="clear" w:color="auto" w:fill="FFFFFF"/>
              <w:snapToGrid w:val="0"/>
              <w:spacing w:line="360" w:lineRule="exact"/>
              <w:ind w:firstLine="0" w:firstLineChars="0"/>
              <w:contextualSpacing/>
              <w:jc w:val="left"/>
              <w:rPr>
                <w:rFonts w:hint="default" w:ascii="Times New Roman" w:hAnsi="Times New Roman" w:eastAsia="仿宋_GB2312" w:cs="Times New Roman"/>
                <w:bCs/>
                <w:sz w:val="24"/>
                <w:szCs w:val="24"/>
              </w:rPr>
            </w:pPr>
            <w:r>
              <w:rPr>
                <w:rFonts w:hint="default" w:ascii="Times New Roman" w:hAnsi="Times New Roman" w:eastAsia="仿宋_GB2312" w:cs="Times New Roman"/>
                <w:bCs/>
                <w:sz w:val="24"/>
                <w:szCs w:val="24"/>
              </w:rPr>
              <w:t>3.</w:t>
            </w:r>
            <w:r>
              <w:rPr>
                <w:rFonts w:hint="eastAsia" w:eastAsia="仿宋_GB2312" w:cs="Times New Roman"/>
                <w:bCs/>
                <w:sz w:val="24"/>
                <w:szCs w:val="24"/>
                <w:lang w:eastAsia="zh-CN"/>
              </w:rPr>
              <w:t>由采集农户处收购的，</w:t>
            </w:r>
            <w:r>
              <w:rPr>
                <w:rFonts w:hint="default" w:ascii="Times New Roman" w:hAnsi="Times New Roman" w:eastAsia="仿宋_GB2312" w:cs="Times New Roman"/>
                <w:bCs/>
                <w:sz w:val="24"/>
                <w:szCs w:val="24"/>
              </w:rPr>
              <w:t>需提供采集农户的姓名</w:t>
            </w:r>
            <w:r>
              <w:rPr>
                <w:rFonts w:hint="eastAsia" w:eastAsia="仿宋_GB2312" w:cs="Times New Roman"/>
                <w:bCs/>
                <w:sz w:val="24"/>
                <w:szCs w:val="24"/>
                <w:lang w:eastAsia="zh-CN"/>
              </w:rPr>
              <w:t>及</w:t>
            </w:r>
            <w:r>
              <w:rPr>
                <w:rFonts w:hint="default" w:ascii="Times New Roman" w:hAnsi="Times New Roman" w:eastAsia="仿宋_GB2312" w:cs="Times New Roman"/>
                <w:bCs/>
                <w:sz w:val="24"/>
                <w:szCs w:val="24"/>
              </w:rPr>
              <w:t>联系方式</w:t>
            </w:r>
            <w:r>
              <w:rPr>
                <w:rFonts w:hint="eastAsia" w:eastAsia="仿宋_GB2312" w:cs="Times New Roman"/>
                <w:bCs/>
                <w:sz w:val="24"/>
                <w:szCs w:val="24"/>
                <w:lang w:eastAsia="zh-CN"/>
              </w:rPr>
              <w:t>，</w:t>
            </w:r>
            <w:r>
              <w:rPr>
                <w:rFonts w:hint="default" w:ascii="Times New Roman" w:hAnsi="Times New Roman" w:eastAsia="仿宋_GB2312" w:cs="Times New Roman"/>
                <w:bCs/>
                <w:sz w:val="24"/>
                <w:szCs w:val="24"/>
              </w:rPr>
              <w:t>采集区域范围（具体到乡镇）、药材收购台账。</w:t>
            </w:r>
          </w:p>
          <w:p>
            <w:pPr>
              <w:pStyle w:val="16"/>
              <w:shd w:val="clear" w:color="auto" w:fill="FFFFFF"/>
              <w:snapToGrid w:val="0"/>
              <w:spacing w:line="360" w:lineRule="exact"/>
              <w:ind w:firstLine="0" w:firstLineChars="0"/>
              <w:contextualSpacing/>
              <w:jc w:val="left"/>
              <w:rPr>
                <w:rFonts w:hint="eastAsia" w:eastAsia="仿宋_GB2312" w:cs="Times New Roman"/>
                <w:bCs/>
                <w:sz w:val="24"/>
                <w:szCs w:val="24"/>
                <w:lang w:val="en-US" w:eastAsia="zh-CN"/>
              </w:rPr>
            </w:pPr>
            <w:r>
              <w:rPr>
                <w:rFonts w:hint="eastAsia" w:eastAsia="仿宋_GB2312" w:cs="Times New Roman"/>
                <w:bCs/>
                <w:sz w:val="24"/>
                <w:szCs w:val="24"/>
                <w:lang w:val="en-US" w:eastAsia="zh-CN"/>
              </w:rPr>
              <w:t>4.属于进口药材的，需提供该药材进口单位名称、营业执照复印件、口岸检验合格报告，采购品种、批次、数量等采购台账。</w:t>
            </w:r>
          </w:p>
          <w:p>
            <w:pPr>
              <w:pStyle w:val="16"/>
              <w:shd w:val="clear" w:color="auto" w:fill="FFFFFF"/>
              <w:snapToGrid w:val="0"/>
              <w:spacing w:line="360" w:lineRule="exact"/>
              <w:ind w:firstLine="0" w:firstLineChars="0"/>
              <w:contextualSpacing/>
              <w:jc w:val="left"/>
              <w:rPr>
                <w:rFonts w:hint="default" w:ascii="Times New Roman" w:hAnsi="Times New Roman" w:eastAsia="仿宋_GB2312" w:cs="Times New Roman"/>
                <w:sz w:val="24"/>
                <w:szCs w:val="24"/>
              </w:rPr>
            </w:pPr>
            <w:r>
              <w:rPr>
                <w:rFonts w:hint="eastAsia" w:eastAsia="仿宋_GB2312" w:cs="Times New Roman"/>
                <w:bCs/>
                <w:sz w:val="24"/>
                <w:szCs w:val="24"/>
                <w:lang w:val="en-US" w:eastAsia="zh-CN"/>
              </w:rPr>
              <w:t>5.属于医疗用毒性中药材、野生动植物保护类中药材的，还应当提供合法合规佐证材料。</w:t>
            </w:r>
          </w:p>
        </w:tc>
        <w:tc>
          <w:tcPr>
            <w:tcW w:w="1762" w:type="dxa"/>
          </w:tcPr>
          <w:p>
            <w:pPr>
              <w:snapToGrid w:val="0"/>
              <w:jc w:val="center"/>
              <w:rPr>
                <w:rFonts w:hint="default"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207" w:hRule="atLeast"/>
          <w:jc w:val="center"/>
        </w:trPr>
        <w:tc>
          <w:tcPr>
            <w:tcW w:w="680" w:type="dxa"/>
            <w:shd w:val="clear" w:color="auto" w:fill="auto"/>
            <w:vAlign w:val="center"/>
          </w:tcPr>
          <w:p>
            <w:pPr>
              <w:snapToGrid w:val="0"/>
              <w:jc w:val="center"/>
              <w:rPr>
                <w:rFonts w:hint="default" w:ascii="Times New Roman" w:hAnsi="Times New Roman" w:eastAsia="仿宋_GB2312" w:cs="Times New Roman"/>
                <w:bCs/>
                <w:sz w:val="24"/>
              </w:rPr>
            </w:pPr>
            <w:r>
              <w:rPr>
                <w:rFonts w:hint="eastAsia" w:ascii="Times New Roman" w:hAnsi="Times New Roman" w:eastAsia="仿宋_GB2312" w:cs="Times New Roman"/>
                <w:bCs/>
                <w:sz w:val="24"/>
                <w:lang w:val="en-US" w:eastAsia="zh-CN"/>
              </w:rPr>
              <w:t>3</w:t>
            </w:r>
          </w:p>
        </w:tc>
        <w:tc>
          <w:tcPr>
            <w:tcW w:w="1310" w:type="dxa"/>
            <w:shd w:val="clear" w:color="auto" w:fill="auto"/>
            <w:vAlign w:val="center"/>
          </w:tcPr>
          <w:p>
            <w:pPr>
              <w:snapToGrid w:val="0"/>
              <w:spacing w:line="360" w:lineRule="exact"/>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质量保证</w:t>
            </w:r>
          </w:p>
        </w:tc>
        <w:tc>
          <w:tcPr>
            <w:tcW w:w="4240" w:type="dxa"/>
            <w:gridSpan w:val="2"/>
          </w:tcPr>
          <w:p>
            <w:pPr>
              <w:pStyle w:val="16"/>
              <w:shd w:val="clear" w:color="auto" w:fill="FFFFFF"/>
              <w:snapToGrid w:val="0"/>
              <w:spacing w:line="360" w:lineRule="exact"/>
              <w:ind w:firstLine="0" w:firstLineChars="0"/>
              <w:contextualSpacing/>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法定代表人、企业负责人应当对中药材经营质量全面负责，保证企业具备配合中药生产企业落实药品质量管理要求的能力，为采购方的质量追溯提供配合与支持。</w:t>
            </w:r>
          </w:p>
        </w:tc>
        <w:tc>
          <w:tcPr>
            <w:tcW w:w="1762" w:type="dxa"/>
          </w:tcPr>
          <w:p>
            <w:pPr>
              <w:snapToGrid w:val="0"/>
              <w:jc w:val="center"/>
              <w:rPr>
                <w:rFonts w:hint="default"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207" w:hRule="atLeast"/>
          <w:jc w:val="center"/>
        </w:trPr>
        <w:tc>
          <w:tcPr>
            <w:tcW w:w="680" w:type="dxa"/>
            <w:shd w:val="clear" w:color="auto" w:fill="auto"/>
            <w:vAlign w:val="center"/>
          </w:tcPr>
          <w:p>
            <w:pPr>
              <w:snapToGrid w:val="0"/>
              <w:jc w:val="center"/>
              <w:rPr>
                <w:rFonts w:hint="default" w:ascii="Times New Roman" w:hAnsi="Times New Roman" w:eastAsia="仿宋_GB2312" w:cs="Times New Roman"/>
                <w:bCs/>
                <w:sz w:val="24"/>
              </w:rPr>
            </w:pPr>
            <w:r>
              <w:rPr>
                <w:rFonts w:hint="eastAsia" w:ascii="Times New Roman" w:hAnsi="Times New Roman" w:eastAsia="仿宋_GB2312" w:cs="Times New Roman"/>
                <w:bCs/>
                <w:sz w:val="24"/>
                <w:lang w:val="en-US" w:eastAsia="zh-CN"/>
              </w:rPr>
              <w:t>4</w:t>
            </w:r>
          </w:p>
        </w:tc>
        <w:tc>
          <w:tcPr>
            <w:tcW w:w="1310" w:type="dxa"/>
            <w:shd w:val="clear" w:color="auto" w:fill="auto"/>
            <w:vAlign w:val="center"/>
          </w:tcPr>
          <w:p>
            <w:pPr>
              <w:snapToGrid w:val="0"/>
              <w:spacing w:line="360" w:lineRule="exact"/>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中药材质量</w:t>
            </w:r>
          </w:p>
        </w:tc>
        <w:tc>
          <w:tcPr>
            <w:tcW w:w="4240" w:type="dxa"/>
            <w:gridSpan w:val="2"/>
          </w:tcPr>
          <w:p>
            <w:pPr>
              <w:pStyle w:val="16"/>
              <w:shd w:val="clear" w:color="auto" w:fill="FFFFFF"/>
              <w:snapToGrid w:val="0"/>
              <w:spacing w:line="360" w:lineRule="exact"/>
              <w:ind w:firstLine="0" w:firstLineChars="0"/>
              <w:contextualSpacing/>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明确所供应中药材的基原，中药材质量应符合对应标准（不低于现行法定标准），以及采购方质量协议和采购合同的要求。</w:t>
            </w:r>
          </w:p>
        </w:tc>
        <w:tc>
          <w:tcPr>
            <w:tcW w:w="1762" w:type="dxa"/>
          </w:tcPr>
          <w:p>
            <w:pPr>
              <w:snapToGrid w:val="0"/>
              <w:jc w:val="center"/>
              <w:rPr>
                <w:rFonts w:hint="default"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207" w:hRule="atLeast"/>
          <w:jc w:val="center"/>
        </w:trPr>
        <w:tc>
          <w:tcPr>
            <w:tcW w:w="680" w:type="dxa"/>
            <w:shd w:val="clear" w:color="auto" w:fill="auto"/>
            <w:vAlign w:val="center"/>
          </w:tcPr>
          <w:p>
            <w:pPr>
              <w:snapToGrid w:val="0"/>
              <w:jc w:val="center"/>
              <w:rPr>
                <w:rFonts w:hint="default" w:ascii="Times New Roman" w:hAnsi="Times New Roman" w:eastAsia="仿宋_GB2312" w:cs="Times New Roman"/>
                <w:bCs/>
                <w:sz w:val="24"/>
              </w:rPr>
            </w:pPr>
            <w:r>
              <w:rPr>
                <w:rFonts w:hint="eastAsia" w:ascii="Times New Roman" w:hAnsi="Times New Roman" w:eastAsia="仿宋_GB2312" w:cs="Times New Roman"/>
                <w:bCs/>
                <w:sz w:val="24"/>
                <w:lang w:val="en-US" w:eastAsia="zh-CN"/>
              </w:rPr>
              <w:t>5</w:t>
            </w:r>
          </w:p>
        </w:tc>
        <w:tc>
          <w:tcPr>
            <w:tcW w:w="1310" w:type="dxa"/>
            <w:shd w:val="clear" w:color="auto" w:fill="auto"/>
            <w:vAlign w:val="center"/>
          </w:tcPr>
          <w:p>
            <w:pPr>
              <w:pStyle w:val="16"/>
              <w:shd w:val="clear" w:color="auto" w:fill="FFFFFF"/>
              <w:snapToGrid w:val="0"/>
              <w:spacing w:line="360" w:lineRule="exact"/>
              <w:ind w:firstLine="0" w:firstLineChars="0"/>
              <w:contextualSpacing/>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制度管理</w:t>
            </w:r>
          </w:p>
        </w:tc>
        <w:tc>
          <w:tcPr>
            <w:tcW w:w="4240" w:type="dxa"/>
            <w:gridSpan w:val="2"/>
          </w:tcPr>
          <w:p>
            <w:pPr>
              <w:pStyle w:val="16"/>
              <w:shd w:val="clear" w:color="auto" w:fill="FFFFFF"/>
              <w:snapToGrid w:val="0"/>
              <w:spacing w:line="360" w:lineRule="exact"/>
              <w:ind w:firstLine="0" w:firstLineChars="0"/>
              <w:contextualSpacing/>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建立中药材经营质量管理相关制度，如：中药材的购进管理制度、储存养护管理制度、销售管理制度、运输管理制度等，并保证切实执行。</w:t>
            </w:r>
          </w:p>
        </w:tc>
        <w:tc>
          <w:tcPr>
            <w:tcW w:w="1762" w:type="dxa"/>
          </w:tcPr>
          <w:p>
            <w:pPr>
              <w:snapToGrid w:val="0"/>
              <w:jc w:val="center"/>
              <w:rPr>
                <w:rFonts w:hint="default"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207" w:hRule="atLeast"/>
          <w:jc w:val="center"/>
        </w:trPr>
        <w:tc>
          <w:tcPr>
            <w:tcW w:w="680" w:type="dxa"/>
            <w:shd w:val="clear" w:color="auto" w:fill="auto"/>
            <w:vAlign w:val="center"/>
          </w:tcPr>
          <w:p>
            <w:pPr>
              <w:snapToGrid w:val="0"/>
              <w:jc w:val="center"/>
              <w:rPr>
                <w:rFonts w:hint="default" w:ascii="Times New Roman" w:hAnsi="Times New Roman" w:eastAsia="仿宋_GB2312" w:cs="Times New Roman"/>
                <w:bCs/>
                <w:sz w:val="24"/>
              </w:rPr>
            </w:pPr>
            <w:r>
              <w:rPr>
                <w:rFonts w:hint="eastAsia" w:ascii="Times New Roman" w:hAnsi="Times New Roman" w:eastAsia="仿宋_GB2312" w:cs="Times New Roman"/>
                <w:bCs/>
                <w:sz w:val="24"/>
                <w:lang w:val="en-US" w:eastAsia="zh-CN"/>
              </w:rPr>
              <w:t>6</w:t>
            </w:r>
          </w:p>
        </w:tc>
        <w:tc>
          <w:tcPr>
            <w:tcW w:w="1310" w:type="dxa"/>
            <w:shd w:val="clear" w:color="auto" w:fill="auto"/>
            <w:vAlign w:val="center"/>
          </w:tcPr>
          <w:p>
            <w:pPr>
              <w:snapToGrid w:val="0"/>
              <w:spacing w:line="360" w:lineRule="exact"/>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人员能力</w:t>
            </w:r>
          </w:p>
        </w:tc>
        <w:tc>
          <w:tcPr>
            <w:tcW w:w="4240" w:type="dxa"/>
            <w:gridSpan w:val="2"/>
          </w:tcPr>
          <w:p>
            <w:pPr>
              <w:pStyle w:val="16"/>
              <w:shd w:val="clear" w:color="auto" w:fill="FFFFFF"/>
              <w:snapToGrid w:val="0"/>
              <w:spacing w:line="360" w:lineRule="exact"/>
              <w:ind w:firstLine="0" w:firstLineChars="0"/>
              <w:contextualSpacing/>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负责中药材采购及验收的人员应具备鉴别中药材真伪优劣的能力。</w:t>
            </w:r>
          </w:p>
        </w:tc>
        <w:tc>
          <w:tcPr>
            <w:tcW w:w="1762" w:type="dxa"/>
          </w:tcPr>
          <w:p>
            <w:pPr>
              <w:snapToGrid w:val="0"/>
              <w:jc w:val="center"/>
              <w:rPr>
                <w:rFonts w:hint="default"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207" w:hRule="atLeast"/>
          <w:jc w:val="center"/>
        </w:trPr>
        <w:tc>
          <w:tcPr>
            <w:tcW w:w="680" w:type="dxa"/>
            <w:shd w:val="clear" w:color="auto" w:fill="auto"/>
            <w:vAlign w:val="center"/>
          </w:tcPr>
          <w:p>
            <w:pPr>
              <w:snapToGrid w:val="0"/>
              <w:jc w:val="center"/>
              <w:rPr>
                <w:rFonts w:hint="default" w:ascii="Times New Roman" w:hAnsi="Times New Roman" w:eastAsia="仿宋_GB2312" w:cs="Times New Roman"/>
                <w:bCs/>
                <w:sz w:val="24"/>
              </w:rPr>
            </w:pPr>
            <w:r>
              <w:rPr>
                <w:rFonts w:hint="eastAsia" w:ascii="Times New Roman" w:hAnsi="Times New Roman" w:eastAsia="仿宋_GB2312" w:cs="Times New Roman"/>
                <w:bCs/>
                <w:sz w:val="24"/>
                <w:lang w:val="en-US" w:eastAsia="zh-CN"/>
              </w:rPr>
              <w:t>7</w:t>
            </w:r>
          </w:p>
        </w:tc>
        <w:tc>
          <w:tcPr>
            <w:tcW w:w="1310" w:type="dxa"/>
            <w:shd w:val="clear" w:color="auto" w:fill="auto"/>
            <w:vAlign w:val="center"/>
          </w:tcPr>
          <w:p>
            <w:pPr>
              <w:snapToGrid w:val="0"/>
              <w:spacing w:line="360" w:lineRule="exact"/>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供应商审核</w:t>
            </w:r>
          </w:p>
        </w:tc>
        <w:tc>
          <w:tcPr>
            <w:tcW w:w="4240" w:type="dxa"/>
            <w:gridSpan w:val="2"/>
          </w:tcPr>
          <w:p>
            <w:pPr>
              <w:pStyle w:val="16"/>
              <w:shd w:val="clear" w:color="auto" w:fill="FFFFFF"/>
              <w:snapToGrid w:val="0"/>
              <w:spacing w:line="360" w:lineRule="exact"/>
              <w:ind w:firstLine="0" w:firstLineChars="0"/>
              <w:contextualSpacing/>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应按照本指南的要求对不同类别的中药材供应商进行质量审核，审核合格方可纳入合格供货方，确保中药材购进渠道规范，质量符合法定标准及采购方要求，质量信息可追溯。</w:t>
            </w:r>
          </w:p>
          <w:p>
            <w:pPr>
              <w:pStyle w:val="16"/>
              <w:shd w:val="clear" w:color="auto" w:fill="FFFFFF"/>
              <w:snapToGrid w:val="0"/>
              <w:spacing w:line="360" w:lineRule="exact"/>
              <w:ind w:firstLine="0" w:firstLineChars="0"/>
              <w:contextualSpacing/>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鼓励对中药材生产环节进行质量考核，如：种植关注中药材的基原、种苗情况，种植与田间管理情况，农药、肥料施用情况，种植周期与采收加工情况等。养殖关注种群管理、养殖场地设施、种群繁育、饲养、加工等情况。</w:t>
            </w:r>
          </w:p>
          <w:p>
            <w:pPr>
              <w:pStyle w:val="16"/>
              <w:shd w:val="clear" w:color="auto" w:fill="FFFFFF"/>
              <w:snapToGrid w:val="0"/>
              <w:spacing w:line="360" w:lineRule="exact"/>
              <w:ind w:firstLine="0" w:firstLineChars="0"/>
              <w:contextualSpacing/>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由中药材生产企业处收购审核内容可参照相应中药材供应商审核记录表内容。</w:t>
            </w:r>
          </w:p>
        </w:tc>
        <w:tc>
          <w:tcPr>
            <w:tcW w:w="1762" w:type="dxa"/>
          </w:tcPr>
          <w:p>
            <w:pPr>
              <w:snapToGrid w:val="0"/>
              <w:jc w:val="center"/>
              <w:rPr>
                <w:rFonts w:hint="default"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207" w:hRule="atLeast"/>
          <w:jc w:val="center"/>
        </w:trPr>
        <w:tc>
          <w:tcPr>
            <w:tcW w:w="680" w:type="dxa"/>
            <w:shd w:val="clear" w:color="auto" w:fill="auto"/>
            <w:vAlign w:val="center"/>
          </w:tcPr>
          <w:p>
            <w:pPr>
              <w:snapToGrid w:val="0"/>
              <w:jc w:val="center"/>
              <w:rPr>
                <w:rFonts w:hint="default" w:ascii="Times New Roman" w:hAnsi="Times New Roman" w:eastAsia="仿宋_GB2312" w:cs="Times New Roman"/>
                <w:bCs/>
                <w:sz w:val="24"/>
              </w:rPr>
            </w:pPr>
            <w:r>
              <w:rPr>
                <w:rFonts w:hint="eastAsia" w:ascii="Times New Roman" w:hAnsi="Times New Roman" w:eastAsia="仿宋_GB2312" w:cs="Times New Roman"/>
                <w:bCs/>
                <w:sz w:val="24"/>
                <w:lang w:val="en-US" w:eastAsia="zh-CN"/>
              </w:rPr>
              <w:t>8</w:t>
            </w:r>
          </w:p>
        </w:tc>
        <w:tc>
          <w:tcPr>
            <w:tcW w:w="1310" w:type="dxa"/>
            <w:shd w:val="clear" w:color="auto" w:fill="auto"/>
            <w:vAlign w:val="center"/>
          </w:tcPr>
          <w:p>
            <w:pPr>
              <w:snapToGrid w:val="0"/>
              <w:spacing w:line="360" w:lineRule="exact"/>
              <w:jc w:val="center"/>
              <w:rPr>
                <w:rFonts w:hint="default" w:ascii="Times New Roman" w:hAnsi="Times New Roman" w:eastAsia="仿宋_GB2312" w:cs="Times New Roman"/>
                <w:bCs/>
                <w:sz w:val="24"/>
              </w:rPr>
            </w:pPr>
            <w:r>
              <w:rPr>
                <w:rFonts w:hint="default" w:ascii="Times New Roman" w:hAnsi="Times New Roman" w:eastAsia="仿宋_GB2312" w:cs="Times New Roman"/>
                <w:sz w:val="24"/>
              </w:rPr>
              <w:t>贮藏管理</w:t>
            </w:r>
          </w:p>
        </w:tc>
        <w:tc>
          <w:tcPr>
            <w:tcW w:w="4240" w:type="dxa"/>
            <w:gridSpan w:val="2"/>
          </w:tcPr>
          <w:p>
            <w:pPr>
              <w:pStyle w:val="16"/>
              <w:shd w:val="clear" w:color="auto" w:fill="FFFFFF"/>
              <w:snapToGrid w:val="0"/>
              <w:spacing w:line="360" w:lineRule="exact"/>
              <w:ind w:firstLine="0" w:firstLineChars="0"/>
              <w:contextualSpacing/>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中药材对贮存温度、湿度、光照、通风等条件的要求，确定仓储设施条件，并分区存放中药材，不同品种、不同批次中药材不得混放。根据需要配备控温、避光、通风、防潮和防虫、防鼠禽畜等设施，并采取有效措施，对温、湿度进行监控；储存易串味、鲜活中药材应当有适当的设施（如专库、冷藏设施）。</w:t>
            </w:r>
          </w:p>
          <w:p>
            <w:pPr>
              <w:pStyle w:val="16"/>
              <w:shd w:val="clear" w:color="auto" w:fill="FFFFFF"/>
              <w:snapToGrid w:val="0"/>
              <w:spacing w:line="360" w:lineRule="exact"/>
              <w:ind w:firstLine="0" w:firstLineChars="0"/>
              <w:contextualSpacing/>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医疗用毒性药品、麻醉药品等有特殊管理要求的中药材应当设置专库存放，并有相应的防盗等安全设施。</w:t>
            </w:r>
          </w:p>
        </w:tc>
        <w:tc>
          <w:tcPr>
            <w:tcW w:w="1762" w:type="dxa"/>
          </w:tcPr>
          <w:p>
            <w:pPr>
              <w:snapToGrid w:val="0"/>
              <w:jc w:val="center"/>
              <w:rPr>
                <w:rFonts w:hint="default"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207" w:hRule="atLeast"/>
          <w:jc w:val="center"/>
        </w:trPr>
        <w:tc>
          <w:tcPr>
            <w:tcW w:w="680" w:type="dxa"/>
            <w:shd w:val="clear" w:color="auto" w:fill="auto"/>
            <w:vAlign w:val="center"/>
          </w:tcPr>
          <w:p>
            <w:pPr>
              <w:snapToGrid w:val="0"/>
              <w:jc w:val="center"/>
              <w:rPr>
                <w:rFonts w:hint="default" w:ascii="Times New Roman" w:hAnsi="Times New Roman" w:eastAsia="仿宋_GB2312" w:cs="Times New Roman"/>
                <w:bCs/>
                <w:sz w:val="24"/>
              </w:rPr>
            </w:pPr>
            <w:r>
              <w:rPr>
                <w:rFonts w:hint="eastAsia" w:ascii="Times New Roman" w:hAnsi="Times New Roman" w:eastAsia="仿宋_GB2312" w:cs="Times New Roman"/>
                <w:bCs/>
                <w:sz w:val="24"/>
                <w:lang w:val="en-US" w:eastAsia="zh-CN"/>
              </w:rPr>
              <w:t>9</w:t>
            </w:r>
          </w:p>
        </w:tc>
        <w:tc>
          <w:tcPr>
            <w:tcW w:w="1310" w:type="dxa"/>
            <w:shd w:val="clear" w:color="auto" w:fill="auto"/>
            <w:vAlign w:val="center"/>
          </w:tcPr>
          <w:p>
            <w:pPr>
              <w:snapToGrid w:val="0"/>
              <w:spacing w:line="360" w:lineRule="exact"/>
              <w:jc w:val="center"/>
              <w:rPr>
                <w:rFonts w:hint="default" w:ascii="Times New Roman" w:hAnsi="Times New Roman" w:eastAsia="仿宋_GB2312" w:cs="Times New Roman"/>
                <w:bCs/>
                <w:sz w:val="24"/>
              </w:rPr>
            </w:pPr>
            <w:r>
              <w:rPr>
                <w:rFonts w:hint="default" w:ascii="Times New Roman" w:hAnsi="Times New Roman" w:eastAsia="仿宋_GB2312" w:cs="Times New Roman"/>
                <w:sz w:val="24"/>
              </w:rPr>
              <w:t>养护管理</w:t>
            </w:r>
          </w:p>
        </w:tc>
        <w:tc>
          <w:tcPr>
            <w:tcW w:w="4240" w:type="dxa"/>
            <w:gridSpan w:val="2"/>
          </w:tcPr>
          <w:p>
            <w:pPr>
              <w:pStyle w:val="16"/>
              <w:shd w:val="clear" w:color="auto" w:fill="FFFFFF"/>
              <w:snapToGrid w:val="0"/>
              <w:spacing w:line="360" w:lineRule="exact"/>
              <w:ind w:firstLine="0" w:firstLineChars="0"/>
              <w:contextualSpacing/>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从事养护工作人员应掌握中药材养护知识与技能。应当对储存药品进行定期检查，防止虫蛀、霉变、腐烂、泛油等的发生。应按照制定的中药材养护操作规程开展养护工作，储存期间各种养护操作应当建立养护记录。养护方法应当安全有效，使用的熏蒸剂不能带来质量和安全风险，不得使用国家禁用的高毒性熏蒸剂。</w:t>
            </w:r>
          </w:p>
        </w:tc>
        <w:tc>
          <w:tcPr>
            <w:tcW w:w="1762" w:type="dxa"/>
          </w:tcPr>
          <w:p>
            <w:pPr>
              <w:snapToGrid w:val="0"/>
              <w:jc w:val="center"/>
              <w:rPr>
                <w:rFonts w:hint="default"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207" w:hRule="atLeast"/>
          <w:jc w:val="center"/>
        </w:trPr>
        <w:tc>
          <w:tcPr>
            <w:tcW w:w="680" w:type="dxa"/>
            <w:shd w:val="clear" w:color="auto" w:fill="auto"/>
            <w:vAlign w:val="center"/>
          </w:tcPr>
          <w:p>
            <w:pPr>
              <w:snapToGrid w:val="0"/>
              <w:jc w:val="center"/>
              <w:rPr>
                <w:rFonts w:hint="default" w:ascii="Times New Roman" w:hAnsi="Times New Roman" w:eastAsia="仿宋_GB2312" w:cs="Times New Roman"/>
                <w:bCs/>
                <w:sz w:val="24"/>
              </w:rPr>
            </w:pPr>
            <w:r>
              <w:rPr>
                <w:rFonts w:hint="eastAsia" w:ascii="Times New Roman" w:hAnsi="Times New Roman" w:eastAsia="仿宋_GB2312" w:cs="Times New Roman"/>
                <w:bCs/>
                <w:sz w:val="24"/>
                <w:lang w:val="en-US" w:eastAsia="zh-CN"/>
              </w:rPr>
              <w:t>10</w:t>
            </w:r>
          </w:p>
        </w:tc>
        <w:tc>
          <w:tcPr>
            <w:tcW w:w="1310" w:type="dxa"/>
            <w:shd w:val="clear" w:color="auto" w:fill="auto"/>
            <w:vAlign w:val="center"/>
          </w:tcPr>
          <w:p>
            <w:pPr>
              <w:snapToGrid w:val="0"/>
              <w:spacing w:line="360" w:lineRule="exact"/>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发运管理</w:t>
            </w:r>
          </w:p>
        </w:tc>
        <w:tc>
          <w:tcPr>
            <w:tcW w:w="4240" w:type="dxa"/>
            <w:gridSpan w:val="2"/>
          </w:tcPr>
          <w:p>
            <w:pPr>
              <w:pStyle w:val="16"/>
              <w:shd w:val="clear" w:color="auto" w:fill="FFFFFF"/>
              <w:snapToGrid w:val="0"/>
              <w:spacing w:line="360" w:lineRule="exact"/>
              <w:ind w:firstLine="0" w:firstLineChars="0"/>
              <w:contextualSpacing/>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应当按照技术规程装卸、运输，防止发生混淆、污染、异物混入、包装破损、雨雪淋湿等。应当有中药材发运的记录，可追查每批中药材发运情况，防止发运过程中的破损、混淆和差错等。</w:t>
            </w:r>
          </w:p>
          <w:p>
            <w:pPr>
              <w:pStyle w:val="16"/>
              <w:shd w:val="clear" w:color="auto" w:fill="FFFFFF"/>
              <w:snapToGrid w:val="0"/>
              <w:spacing w:line="360" w:lineRule="exact"/>
              <w:ind w:firstLine="0" w:firstLineChars="0"/>
              <w:contextualSpacing/>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发运中药材应当有包装，每件包装上应有明显标签，标签不易脱落或者损坏。标签标示内容包括品名、基原、产地、采收（初加工）时间、数量、规格、供货单位等信息。医疗用毒性药品的包装应当标示有规定的标志。不同产地来源标识不得混淆。</w:t>
            </w:r>
          </w:p>
        </w:tc>
        <w:tc>
          <w:tcPr>
            <w:tcW w:w="1762" w:type="dxa"/>
          </w:tcPr>
          <w:p>
            <w:pPr>
              <w:snapToGrid w:val="0"/>
              <w:jc w:val="center"/>
              <w:rPr>
                <w:rFonts w:hint="default"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207" w:hRule="atLeast"/>
          <w:jc w:val="center"/>
        </w:trPr>
        <w:tc>
          <w:tcPr>
            <w:tcW w:w="680" w:type="dxa"/>
            <w:shd w:val="clear" w:color="auto" w:fill="auto"/>
            <w:vAlign w:val="center"/>
          </w:tcPr>
          <w:p>
            <w:pPr>
              <w:snapToGrid w:val="0"/>
              <w:jc w:val="center"/>
              <w:rPr>
                <w:rFonts w:hint="default" w:ascii="Times New Roman" w:hAnsi="Times New Roman" w:eastAsia="仿宋_GB2312" w:cs="Times New Roman"/>
                <w:bCs/>
                <w:sz w:val="24"/>
                <w:lang w:val="en-US" w:eastAsia="zh-CN"/>
              </w:rPr>
            </w:pPr>
            <w:r>
              <w:rPr>
                <w:rFonts w:hint="eastAsia" w:ascii="Times New Roman" w:hAnsi="Times New Roman" w:eastAsia="仿宋_GB2312" w:cs="Times New Roman"/>
                <w:bCs/>
                <w:sz w:val="24"/>
                <w:lang w:val="en-US" w:eastAsia="zh-CN"/>
              </w:rPr>
              <w:t>11</w:t>
            </w:r>
          </w:p>
        </w:tc>
        <w:tc>
          <w:tcPr>
            <w:tcW w:w="1310" w:type="dxa"/>
            <w:shd w:val="clear" w:color="auto" w:fill="auto"/>
            <w:vAlign w:val="center"/>
          </w:tcPr>
          <w:p>
            <w:pPr>
              <w:snapToGrid w:val="0"/>
              <w:spacing w:line="360" w:lineRule="exact"/>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购销管理</w:t>
            </w:r>
          </w:p>
        </w:tc>
        <w:tc>
          <w:tcPr>
            <w:tcW w:w="4240" w:type="dxa"/>
            <w:gridSpan w:val="2"/>
          </w:tcPr>
          <w:p>
            <w:pPr>
              <w:pStyle w:val="16"/>
              <w:shd w:val="clear" w:color="auto" w:fill="FFFFFF"/>
              <w:snapToGrid w:val="0"/>
              <w:spacing w:line="360" w:lineRule="exact"/>
              <w:ind w:firstLine="0" w:firstLineChars="0"/>
              <w:contextualSpacing/>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对中药材的购进与销售进行管理，建立中药材购进与销售台账，保存购销合同与购销凭据。</w:t>
            </w:r>
          </w:p>
        </w:tc>
        <w:tc>
          <w:tcPr>
            <w:tcW w:w="1762" w:type="dxa"/>
          </w:tcPr>
          <w:p>
            <w:pPr>
              <w:snapToGrid w:val="0"/>
              <w:jc w:val="center"/>
              <w:rPr>
                <w:rFonts w:hint="default"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207" w:hRule="atLeast"/>
          <w:jc w:val="center"/>
        </w:trPr>
        <w:tc>
          <w:tcPr>
            <w:tcW w:w="680" w:type="dxa"/>
            <w:shd w:val="clear" w:color="auto" w:fill="auto"/>
            <w:vAlign w:val="center"/>
          </w:tcPr>
          <w:p>
            <w:pPr>
              <w:snapToGrid w:val="0"/>
              <w:jc w:val="center"/>
              <w:rPr>
                <w:rFonts w:hint="default" w:ascii="Times New Roman" w:hAnsi="Times New Roman" w:eastAsia="仿宋_GB2312" w:cs="Times New Roman"/>
                <w:bCs/>
                <w:sz w:val="24"/>
                <w:lang w:val="en-US" w:eastAsia="zh-CN"/>
              </w:rPr>
            </w:pPr>
            <w:r>
              <w:rPr>
                <w:rFonts w:hint="eastAsia" w:ascii="Times New Roman" w:hAnsi="Times New Roman" w:eastAsia="仿宋_GB2312" w:cs="Times New Roman"/>
                <w:bCs/>
                <w:sz w:val="24"/>
                <w:lang w:val="en-US" w:eastAsia="zh-CN"/>
              </w:rPr>
              <w:t>12</w:t>
            </w:r>
          </w:p>
        </w:tc>
        <w:tc>
          <w:tcPr>
            <w:tcW w:w="1310" w:type="dxa"/>
            <w:shd w:val="clear" w:color="auto" w:fill="auto"/>
            <w:vAlign w:val="center"/>
          </w:tcPr>
          <w:p>
            <w:pPr>
              <w:snapToGrid w:val="0"/>
              <w:spacing w:line="360" w:lineRule="exact"/>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追溯管理</w:t>
            </w:r>
          </w:p>
        </w:tc>
        <w:tc>
          <w:tcPr>
            <w:tcW w:w="4240" w:type="dxa"/>
            <w:gridSpan w:val="2"/>
          </w:tcPr>
          <w:p>
            <w:pPr>
              <w:pStyle w:val="16"/>
              <w:shd w:val="clear" w:color="auto" w:fill="FFFFFF"/>
              <w:snapToGrid w:val="0"/>
              <w:spacing w:line="360" w:lineRule="exact"/>
              <w:ind w:firstLine="0" w:firstLineChars="0"/>
              <w:contextualSpacing/>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为采购方实施中药材质量追溯管理提供必要的支持与信息，如：中药材的基原、种苗情况，种植与田间管理情况，农药、肥料施用情况，种植周期与采收加工情况等。</w:t>
            </w:r>
          </w:p>
        </w:tc>
        <w:tc>
          <w:tcPr>
            <w:tcW w:w="1762" w:type="dxa"/>
          </w:tcPr>
          <w:p>
            <w:pPr>
              <w:snapToGrid w:val="0"/>
              <w:jc w:val="center"/>
              <w:rPr>
                <w:rFonts w:hint="default"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207" w:hRule="atLeast"/>
          <w:jc w:val="center"/>
        </w:trPr>
        <w:tc>
          <w:tcPr>
            <w:tcW w:w="680" w:type="dxa"/>
            <w:shd w:val="clear" w:color="auto" w:fill="auto"/>
            <w:vAlign w:val="center"/>
          </w:tcPr>
          <w:p>
            <w:pPr>
              <w:snapToGrid w:val="0"/>
              <w:jc w:val="center"/>
              <w:rPr>
                <w:rFonts w:hint="default" w:ascii="Times New Roman" w:hAnsi="Times New Roman" w:eastAsia="仿宋_GB2312" w:cs="Times New Roman"/>
                <w:bCs/>
                <w:sz w:val="24"/>
                <w:lang w:val="en-US" w:eastAsia="zh-CN"/>
              </w:rPr>
            </w:pPr>
            <w:r>
              <w:rPr>
                <w:rFonts w:hint="eastAsia" w:ascii="Times New Roman" w:hAnsi="Times New Roman" w:eastAsia="仿宋_GB2312" w:cs="Times New Roman"/>
                <w:bCs/>
                <w:sz w:val="24"/>
                <w:lang w:val="en-US" w:eastAsia="zh-CN"/>
              </w:rPr>
              <w:t>13</w:t>
            </w:r>
          </w:p>
        </w:tc>
        <w:tc>
          <w:tcPr>
            <w:tcW w:w="1310" w:type="dxa"/>
            <w:shd w:val="clear" w:color="auto" w:fill="auto"/>
            <w:vAlign w:val="center"/>
          </w:tcPr>
          <w:p>
            <w:pPr>
              <w:snapToGrid w:val="0"/>
              <w:spacing w:line="360" w:lineRule="exact"/>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资源供给保障</w:t>
            </w:r>
          </w:p>
        </w:tc>
        <w:tc>
          <w:tcPr>
            <w:tcW w:w="4240" w:type="dxa"/>
            <w:gridSpan w:val="2"/>
          </w:tcPr>
          <w:p>
            <w:pPr>
              <w:pStyle w:val="16"/>
              <w:shd w:val="clear" w:color="auto" w:fill="FFFFFF"/>
              <w:snapToGrid w:val="0"/>
              <w:spacing w:line="360" w:lineRule="exact"/>
              <w:ind w:firstLine="0" w:firstLineChars="0"/>
              <w:contextualSpacing/>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上游供货渠道应固定且可追溯，具备稳定备选货源或调剂渠道等应急调配能力，仓储场所应与经营规模相匹配，常备库存充足</w:t>
            </w:r>
            <w:r>
              <w:rPr>
                <w:rFonts w:hint="default" w:ascii="Times New Roman" w:hAnsi="Times New Roman" w:eastAsia="仿宋_GB2312" w:cs="Times New Roman"/>
                <w:bCs/>
                <w:sz w:val="24"/>
                <w:szCs w:val="24"/>
              </w:rPr>
              <w:t>并保留合理冗余</w:t>
            </w:r>
            <w:r>
              <w:rPr>
                <w:rFonts w:hint="default" w:ascii="Times New Roman" w:hAnsi="Times New Roman" w:eastAsia="仿宋_GB2312" w:cs="Times New Roman"/>
                <w:sz w:val="24"/>
                <w:szCs w:val="24"/>
              </w:rPr>
              <w:t>。</w:t>
            </w:r>
          </w:p>
        </w:tc>
        <w:tc>
          <w:tcPr>
            <w:tcW w:w="1762" w:type="dxa"/>
          </w:tcPr>
          <w:p>
            <w:pPr>
              <w:snapToGrid w:val="0"/>
              <w:jc w:val="center"/>
              <w:rPr>
                <w:rFonts w:hint="default"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207" w:hRule="atLeast"/>
          <w:jc w:val="center"/>
        </w:trPr>
        <w:tc>
          <w:tcPr>
            <w:tcW w:w="680" w:type="dxa"/>
            <w:shd w:val="clear" w:color="auto" w:fill="auto"/>
            <w:vAlign w:val="center"/>
          </w:tcPr>
          <w:p>
            <w:pPr>
              <w:snapToGrid w:val="0"/>
              <w:jc w:val="center"/>
              <w:rPr>
                <w:rFonts w:hint="default" w:ascii="Times New Roman" w:hAnsi="Times New Roman" w:eastAsia="仿宋_GB2312" w:cs="Times New Roman"/>
                <w:bCs/>
                <w:sz w:val="24"/>
                <w:lang w:val="en-US" w:eastAsia="zh-CN"/>
              </w:rPr>
            </w:pPr>
            <w:r>
              <w:rPr>
                <w:rFonts w:hint="eastAsia" w:ascii="Times New Roman" w:hAnsi="Times New Roman" w:eastAsia="仿宋_GB2312" w:cs="Times New Roman"/>
                <w:bCs/>
                <w:sz w:val="24"/>
                <w:lang w:val="en-US" w:eastAsia="zh-CN"/>
              </w:rPr>
              <w:t>14</w:t>
            </w:r>
          </w:p>
        </w:tc>
        <w:tc>
          <w:tcPr>
            <w:tcW w:w="1310" w:type="dxa"/>
            <w:shd w:val="clear" w:color="auto" w:fill="auto"/>
            <w:vAlign w:val="center"/>
          </w:tcPr>
          <w:p>
            <w:pPr>
              <w:snapToGrid w:val="0"/>
              <w:spacing w:line="360" w:lineRule="exact"/>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特殊管理要求</w:t>
            </w:r>
          </w:p>
        </w:tc>
        <w:tc>
          <w:tcPr>
            <w:tcW w:w="4240" w:type="dxa"/>
            <w:gridSpan w:val="2"/>
          </w:tcPr>
          <w:p>
            <w:pPr>
              <w:pStyle w:val="16"/>
              <w:shd w:val="clear" w:color="auto" w:fill="FFFFFF"/>
              <w:snapToGrid w:val="0"/>
              <w:spacing w:line="360" w:lineRule="exact"/>
              <w:ind w:firstLine="0" w:firstLineChars="0"/>
              <w:contextualSpacing/>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医疗用毒性药品、麻醉药品及其他有特殊管理要求的中药材，保护野生药材等采购、销售、储存、运输等执行国家相关规定。</w:t>
            </w:r>
          </w:p>
        </w:tc>
        <w:tc>
          <w:tcPr>
            <w:tcW w:w="1762" w:type="dxa"/>
          </w:tcPr>
          <w:p>
            <w:pPr>
              <w:snapToGrid w:val="0"/>
              <w:jc w:val="center"/>
              <w:rPr>
                <w:rFonts w:hint="default"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458" w:hRule="atLeast"/>
          <w:jc w:val="center"/>
        </w:trPr>
        <w:tc>
          <w:tcPr>
            <w:tcW w:w="7992" w:type="dxa"/>
            <w:gridSpan w:val="5"/>
            <w:vAlign w:val="center"/>
          </w:tcPr>
          <w:p>
            <w:pPr>
              <w:snapToGrid w:val="0"/>
              <w:jc w:val="center"/>
              <w:rPr>
                <w:rFonts w:hint="default" w:ascii="Times New Roman" w:hAnsi="Times New Roman" w:eastAsia="仿宋_GB2312" w:cs="Times New Roman"/>
                <w:bCs/>
                <w:sz w:val="24"/>
              </w:rPr>
            </w:pPr>
            <w:r>
              <w:rPr>
                <w:rFonts w:hint="eastAsia" w:ascii="黑体" w:hAnsi="黑体" w:eastAsia="黑体" w:cs="黑体"/>
                <w:bCs/>
                <w:sz w:val="24"/>
                <w:lang w:val="en" w:eastAsia="zh-CN"/>
              </w:rPr>
              <w:t>审核意见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445" w:hRule="atLeast"/>
          <w:jc w:val="center"/>
        </w:trPr>
        <w:tc>
          <w:tcPr>
            <w:tcW w:w="2966" w:type="dxa"/>
            <w:gridSpan w:val="3"/>
            <w:vAlign w:val="center"/>
          </w:tcPr>
          <w:p>
            <w:pPr>
              <w:snapToGrid w:val="0"/>
              <w:jc w:val="center"/>
              <w:rPr>
                <w:rFonts w:hint="eastAsia" w:ascii="黑体" w:hAnsi="黑体" w:eastAsia="黑体" w:cs="黑体"/>
                <w:bCs/>
                <w:sz w:val="24"/>
                <w:lang w:eastAsia="zh-CN"/>
              </w:rPr>
            </w:pPr>
            <w:r>
              <w:rPr>
                <w:rFonts w:hint="eastAsia" w:ascii="黑体" w:hAnsi="黑体" w:eastAsia="黑体" w:cs="黑体"/>
                <w:bCs/>
                <w:sz w:val="24"/>
              </w:rPr>
              <w:t xml:space="preserve"> </w:t>
            </w:r>
            <w:r>
              <w:rPr>
                <w:rFonts w:hint="eastAsia" w:ascii="黑体" w:hAnsi="黑体" w:eastAsia="黑体" w:cs="黑体"/>
                <w:bCs/>
                <w:sz w:val="24"/>
                <w:lang w:eastAsia="zh-CN"/>
              </w:rPr>
              <w:t>审核情况</w:t>
            </w:r>
          </w:p>
          <w:p>
            <w:pPr>
              <w:snapToGrid w:val="0"/>
              <w:jc w:val="center"/>
              <w:rPr>
                <w:rFonts w:hint="default" w:ascii="Times New Roman" w:hAnsi="Times New Roman" w:eastAsia="仿宋_GB2312" w:cs="Times New Roman"/>
                <w:bCs/>
                <w:sz w:val="24"/>
              </w:rPr>
            </w:pPr>
            <w:r>
              <w:rPr>
                <w:rFonts w:hint="eastAsia" w:ascii="黑体" w:hAnsi="黑体" w:eastAsia="黑体" w:cs="黑体"/>
                <w:bCs/>
                <w:sz w:val="24"/>
                <w:lang w:eastAsia="zh-CN"/>
              </w:rPr>
              <w:t>（主要描述审核情况及发现的相关问题）</w:t>
            </w:r>
          </w:p>
        </w:tc>
        <w:tc>
          <w:tcPr>
            <w:tcW w:w="5026" w:type="dxa"/>
            <w:gridSpan w:val="2"/>
            <w:vAlign w:val="center"/>
          </w:tcPr>
          <w:p>
            <w:pPr>
              <w:snapToGrid w:val="0"/>
              <w:jc w:val="center"/>
              <w:rPr>
                <w:rFonts w:hint="default"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417" w:hRule="atLeast"/>
          <w:jc w:val="center"/>
        </w:trPr>
        <w:tc>
          <w:tcPr>
            <w:tcW w:w="2966" w:type="dxa"/>
            <w:gridSpan w:val="3"/>
            <w:vAlign w:val="center"/>
          </w:tcPr>
          <w:p>
            <w:pPr>
              <w:snapToGrid w:val="0"/>
              <w:jc w:val="center"/>
              <w:rPr>
                <w:rFonts w:hint="default" w:ascii="Times New Roman" w:hAnsi="Times New Roman" w:eastAsia="仿宋_GB2312" w:cs="Times New Roman"/>
                <w:bCs/>
                <w:sz w:val="24"/>
              </w:rPr>
            </w:pPr>
            <w:r>
              <w:rPr>
                <w:rFonts w:hint="eastAsia" w:ascii="黑体" w:hAnsi="黑体" w:eastAsia="黑体" w:cs="黑体"/>
                <w:bCs/>
                <w:sz w:val="24"/>
                <w:lang w:eastAsia="zh-CN"/>
              </w:rPr>
              <w:t>审核结论</w:t>
            </w:r>
          </w:p>
        </w:tc>
        <w:tc>
          <w:tcPr>
            <w:tcW w:w="5026" w:type="dxa"/>
            <w:gridSpan w:val="2"/>
            <w:vAlign w:val="center"/>
          </w:tcPr>
          <w:p>
            <w:pPr>
              <w:snapToGrid w:val="0"/>
              <w:jc w:val="center"/>
              <w:rPr>
                <w:rFonts w:hint="default"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454" w:hRule="atLeast"/>
          <w:jc w:val="center"/>
        </w:trPr>
        <w:tc>
          <w:tcPr>
            <w:tcW w:w="2966" w:type="dxa"/>
            <w:gridSpan w:val="3"/>
            <w:vAlign w:val="center"/>
          </w:tcPr>
          <w:p>
            <w:pPr>
              <w:snapToGrid w:val="0"/>
              <w:jc w:val="center"/>
              <w:rPr>
                <w:rFonts w:hint="default" w:ascii="Times New Roman" w:hAnsi="Times New Roman" w:eastAsia="仿宋_GB2312" w:cs="Times New Roman"/>
                <w:bCs/>
                <w:sz w:val="24"/>
              </w:rPr>
            </w:pPr>
            <w:r>
              <w:rPr>
                <w:rFonts w:hint="eastAsia" w:ascii="黑体" w:hAnsi="黑体" w:eastAsia="黑体" w:cs="黑体"/>
                <w:bCs/>
                <w:sz w:val="24"/>
                <w:lang w:eastAsia="zh-CN"/>
              </w:rPr>
              <w:t>审核人员签字</w:t>
            </w:r>
          </w:p>
        </w:tc>
        <w:tc>
          <w:tcPr>
            <w:tcW w:w="5026" w:type="dxa"/>
            <w:gridSpan w:val="2"/>
            <w:vAlign w:val="center"/>
          </w:tcPr>
          <w:p>
            <w:pPr>
              <w:snapToGrid w:val="0"/>
              <w:jc w:val="center"/>
              <w:rPr>
                <w:rFonts w:hint="default" w:ascii="Times New Roman" w:hAnsi="Times New Roman" w:eastAsia="仿宋_GB2312" w:cs="Times New Roman"/>
                <w:bCs/>
                <w:sz w:val="24"/>
              </w:rPr>
            </w:pPr>
          </w:p>
        </w:tc>
      </w:tr>
    </w:tbl>
    <w:p>
      <w:pPr>
        <w:rPr>
          <w:rFonts w:hint="default" w:ascii="Times New Roman" w:hAnsi="Times New Roman" w:cs="Times New Roman"/>
          <w:color w:val="000000"/>
          <w:kern w:val="0"/>
          <w:szCs w:val="21"/>
          <w:lang w:bidi="ar"/>
        </w:rPr>
      </w:pPr>
    </w:p>
    <w:p>
      <w:pPr>
        <w:keepNext w:val="0"/>
        <w:keepLines w:val="0"/>
        <w:pageBreakBefore w:val="0"/>
        <w:widowControl/>
        <w:kinsoku/>
        <w:wordWrap/>
        <w:overflowPunct/>
        <w:topLinePunct w:val="0"/>
        <w:autoSpaceDE/>
        <w:autoSpaceDN/>
        <w:bidi w:val="0"/>
        <w:adjustRightInd/>
        <w:snapToGrid/>
        <w:spacing w:line="560" w:lineRule="exact"/>
        <w:ind w:left="-360" w:firstLine="960" w:firstLineChars="300"/>
        <w:jc w:val="left"/>
        <w:textAlignment w:val="auto"/>
        <w:rPr>
          <w:rFonts w:hint="default" w:ascii="Times New Roman" w:hAnsi="Times New Roman" w:eastAsia="仿宋" w:cs="Times New Roman"/>
          <w:color w:val="1F2329"/>
          <w:sz w:val="32"/>
          <w:szCs w:val="32"/>
        </w:rPr>
      </w:pPr>
    </w:p>
    <w:sectPr>
      <w:footerReference r:id="rId6" w:type="default"/>
      <w:pgSz w:w="11906" w:h="16838"/>
      <w:pgMar w:top="1440" w:right="1746" w:bottom="1440" w:left="1746"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Noto Sans Ethiopic"/>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Sans Ethiopic"/>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GWZT-EN">
    <w:altName w:val="Times New Roman"/>
    <w:panose1 w:val="00000000000000000000"/>
    <w:charset w:val="00"/>
    <w:family w:val="auto"/>
    <w:pitch w:val="default"/>
    <w:sig w:usb0="00000000" w:usb1="00000000" w:usb2="00082016" w:usb3="00000000" w:csb0="00000003"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Noto Sans Ethiopic">
    <w:panose1 w:val="020B0502040504020204"/>
    <w:charset w:val="00"/>
    <w:family w:val="auto"/>
    <w:pitch w:val="default"/>
    <w:sig w:usb0="00000000" w:usb1="00000000" w:usb2="00000800" w:usb3="00000000" w:csb0="0000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BQAAAAIAIdO4kCzSVju0AAAAAUBAAAPAAAAAAAA&#10;AAEAIAAAADgAAABkcnMvZG93bnJldi54bWxQSwECFAAUAAAACACHTuJAJIJGtDECAABhBAAADgAA&#10;AAAAAAABACAAAAA1AQAAZHJzL2Uyb0RvYy54bWxQSwECFAAKAAAAAACHTuJAAAAAAAAAAAAAAAAA&#10;BAAAAAAAAAAAABAAAAAWAAAAZHJzL1BLAQIUAAoAAAAAAIdO4kAAAAAAAAAAAAAAAAAGAAAAAAAA&#10;AAAAEAAAAJIDAABfcmVscy9QSwUGAAAAAAYABgBZAQAA2A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sdt>
      <w:sdtPr>
        <w:id w:val="-1"/>
        <w:docPartObj>
          <w:docPartGallery w:val="autotext"/>
        </w:docPartObj>
      </w:sdtPr>
      <w:sdtContent/>
    </w:sdt>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BQAAAAIAIdO4kCzSVju0AAAAAUBAAAPAAAAAAAA&#10;AAEAIAAAADgAAABkcnMvZG93bnJldi54bWxQSwECFAAUAAAACACHTuJAa4X5+zECAABhBAAADgAA&#10;AAAAAAABACAAAAA1AQAAZHJzL2Uyb0RvYy54bWxQSwECFAAKAAAAAACHTuJAAAAAAAAAAAAAAAAA&#10;BAAAAAAAAAAAABAAAAAWAAAAZHJzL1BLAQIUAAoAAAAAAIdO4kAAAAAAAAAAAAAAAAAGAAAAAAAA&#10;AAAAEAAAAJIDAABfcmVscy9QSwUGAAAAAAYABgBZAQAA2A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sdt>
      <w:sdtPr>
        <w:id w:val="1183860642"/>
        <w:docPartObj>
          <w:docPartGallery w:val="autotext"/>
        </w:docPartObj>
      </w:sdtPr>
      <w:sdtContent>
        <w:sdt>
          <w:sdtPr>
            <w:id w:val="147475771"/>
            <w:docPartObj>
              <w:docPartGallery w:val="autotext"/>
            </w:docPartObj>
          </w:sdtPr>
          <w:sdtContent/>
        </w:sdt>
      </w:sdtContent>
    </w:sdt>
  </w:p>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gNOOMgIAAGE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sdt>
      <w:sdtPr>
        <w:id w:val="147473628"/>
        <w:docPartObj>
          <w:docPartGallery w:val="autotext"/>
        </w:docPartObj>
      </w:sdtPr>
      <w:sdtContent>
        <w:sdt>
          <w:sdtPr>
            <w:id w:val="147472522"/>
            <w:docPartObj>
              <w:docPartGallery w:val="autotext"/>
            </w:docPartObj>
          </w:sdtPr>
          <w:sdtContent/>
        </w:sdt>
      </w:sdtContent>
    </w:sdt>
  </w:p>
  <w:p>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sdt>
      <w:sdtPr>
        <w:id w:val="1077861129"/>
        <w:docPartObj>
          <w:docPartGallery w:val="autotext"/>
        </w:docPartObj>
      </w:sdtPr>
      <w:sdtContent>
        <w:sdt>
          <w:sdtPr>
            <w:id w:val="147470835"/>
            <w:docPartObj>
              <w:docPartGallery w:val="autotext"/>
            </w:docPartObj>
          </w:sdtPr>
          <w:sdtContent/>
        </w:sdt>
      </w:sdtContent>
    </w:sdt>
  </w:p>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doNotDisplayPageBoundaries w:val="1"/>
  <w:embedSystemFonts/>
  <w:bordersDoNotSurroundHeader w:val="0"/>
  <w:bordersDoNotSurroundFooter w:val="0"/>
  <w:trackRevisions w:val="1"/>
  <w:documentProtection w:enforcement="0"/>
  <w:defaultTabStop w:val="420"/>
  <w:drawingGridHorizontalSpacing w:val="158"/>
  <w:drawingGridVerticalSpacing w:val="2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6843E4"/>
    <w:rsid w:val="00017FC6"/>
    <w:rsid w:val="00043D73"/>
    <w:rsid w:val="000E4111"/>
    <w:rsid w:val="0011196C"/>
    <w:rsid w:val="00120872"/>
    <w:rsid w:val="00120E0D"/>
    <w:rsid w:val="00145BE8"/>
    <w:rsid w:val="001771DB"/>
    <w:rsid w:val="00232ABA"/>
    <w:rsid w:val="00235852"/>
    <w:rsid w:val="00304FC5"/>
    <w:rsid w:val="00310FEB"/>
    <w:rsid w:val="003227D7"/>
    <w:rsid w:val="003E7F83"/>
    <w:rsid w:val="00401028"/>
    <w:rsid w:val="00450D4E"/>
    <w:rsid w:val="005238D8"/>
    <w:rsid w:val="005316E2"/>
    <w:rsid w:val="00540B3D"/>
    <w:rsid w:val="00543762"/>
    <w:rsid w:val="005F2827"/>
    <w:rsid w:val="00617770"/>
    <w:rsid w:val="00634177"/>
    <w:rsid w:val="006B4958"/>
    <w:rsid w:val="006B65E6"/>
    <w:rsid w:val="00804325"/>
    <w:rsid w:val="00845A6F"/>
    <w:rsid w:val="008567C3"/>
    <w:rsid w:val="008B3AB7"/>
    <w:rsid w:val="009177B6"/>
    <w:rsid w:val="009F2F50"/>
    <w:rsid w:val="00A854C2"/>
    <w:rsid w:val="00A931B8"/>
    <w:rsid w:val="00AB6614"/>
    <w:rsid w:val="00AE6861"/>
    <w:rsid w:val="00AF6386"/>
    <w:rsid w:val="00B27957"/>
    <w:rsid w:val="00B52568"/>
    <w:rsid w:val="00B92673"/>
    <w:rsid w:val="00BA7E09"/>
    <w:rsid w:val="00BC4977"/>
    <w:rsid w:val="00C17FAB"/>
    <w:rsid w:val="00C5002B"/>
    <w:rsid w:val="00CF526E"/>
    <w:rsid w:val="00D177D7"/>
    <w:rsid w:val="00D96CDA"/>
    <w:rsid w:val="00E22565"/>
    <w:rsid w:val="00E37A60"/>
    <w:rsid w:val="00ED1696"/>
    <w:rsid w:val="00EE1542"/>
    <w:rsid w:val="00F03518"/>
    <w:rsid w:val="00F044EB"/>
    <w:rsid w:val="00F31932"/>
    <w:rsid w:val="00F67369"/>
    <w:rsid w:val="00F9085B"/>
    <w:rsid w:val="00F94203"/>
    <w:rsid w:val="00FC58E3"/>
    <w:rsid w:val="019B569B"/>
    <w:rsid w:val="020C3611"/>
    <w:rsid w:val="06813E39"/>
    <w:rsid w:val="0AD44F0C"/>
    <w:rsid w:val="0FF21A8F"/>
    <w:rsid w:val="19A45613"/>
    <w:rsid w:val="1AA80A50"/>
    <w:rsid w:val="1B0F548D"/>
    <w:rsid w:val="1B2A224E"/>
    <w:rsid w:val="1B8F5B60"/>
    <w:rsid w:val="1E85588E"/>
    <w:rsid w:val="1FAFE2CF"/>
    <w:rsid w:val="20631369"/>
    <w:rsid w:val="22003E38"/>
    <w:rsid w:val="2769195B"/>
    <w:rsid w:val="280B5C99"/>
    <w:rsid w:val="2D621BBA"/>
    <w:rsid w:val="2DCE10FE"/>
    <w:rsid w:val="2EE67D35"/>
    <w:rsid w:val="31402A0E"/>
    <w:rsid w:val="336E706A"/>
    <w:rsid w:val="3C687FDC"/>
    <w:rsid w:val="3CF7ED6E"/>
    <w:rsid w:val="3EAF3CA0"/>
    <w:rsid w:val="3F76656C"/>
    <w:rsid w:val="3FEF4E19"/>
    <w:rsid w:val="416A0352"/>
    <w:rsid w:val="44254A04"/>
    <w:rsid w:val="456843E4"/>
    <w:rsid w:val="4B4F2D9B"/>
    <w:rsid w:val="4BDF1AFB"/>
    <w:rsid w:val="50E84DEF"/>
    <w:rsid w:val="52542F45"/>
    <w:rsid w:val="525F3E52"/>
    <w:rsid w:val="545541F0"/>
    <w:rsid w:val="55CF0E4E"/>
    <w:rsid w:val="55E070FC"/>
    <w:rsid w:val="57FFC8DC"/>
    <w:rsid w:val="5B7D1459"/>
    <w:rsid w:val="5CCF7425"/>
    <w:rsid w:val="5D9D0C63"/>
    <w:rsid w:val="5EA24952"/>
    <w:rsid w:val="62851CC3"/>
    <w:rsid w:val="638F1F10"/>
    <w:rsid w:val="655D3BA6"/>
    <w:rsid w:val="6BBCACBF"/>
    <w:rsid w:val="6C5273C5"/>
    <w:rsid w:val="6EE39162"/>
    <w:rsid w:val="6FD6F3A0"/>
    <w:rsid w:val="70CB6390"/>
    <w:rsid w:val="74257F85"/>
    <w:rsid w:val="75E42C57"/>
    <w:rsid w:val="776FDCF4"/>
    <w:rsid w:val="79BFC8C2"/>
    <w:rsid w:val="79C22203"/>
    <w:rsid w:val="7A5C1445"/>
    <w:rsid w:val="7CE98C4A"/>
    <w:rsid w:val="7DFF1B59"/>
    <w:rsid w:val="7DFFF772"/>
    <w:rsid w:val="7EFECE7D"/>
    <w:rsid w:val="7F6F8317"/>
    <w:rsid w:val="7FA614E6"/>
    <w:rsid w:val="7FBB0548"/>
    <w:rsid w:val="7FFEA0A8"/>
    <w:rsid w:val="7FFF971C"/>
    <w:rsid w:val="ABCFA68B"/>
    <w:rsid w:val="BBF9D934"/>
    <w:rsid w:val="BDE45A12"/>
    <w:rsid w:val="BDF37ECB"/>
    <w:rsid w:val="BE7B2C4D"/>
    <w:rsid w:val="BFC7D86B"/>
    <w:rsid w:val="D5D54BDE"/>
    <w:rsid w:val="DBCFEBE1"/>
    <w:rsid w:val="DDFFD675"/>
    <w:rsid w:val="DF7E367F"/>
    <w:rsid w:val="DF9FA203"/>
    <w:rsid w:val="EEFE62D0"/>
    <w:rsid w:val="F7BD802C"/>
    <w:rsid w:val="F7EA05C5"/>
    <w:rsid w:val="FADDC21D"/>
    <w:rsid w:val="FB7C3DC1"/>
    <w:rsid w:val="FD7DA53A"/>
    <w:rsid w:val="FDFCD89D"/>
    <w:rsid w:val="FF3F365B"/>
    <w:rsid w:val="FFBFBA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GWZT-EN"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hAnsi="宋体" w:eastAsia="宋体" w:cs="Times New Roman"/>
      <w:b/>
      <w:bCs/>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hAnsi="宋体" w:eastAsia="宋体" w:cs="Times New Roman"/>
      <w:b/>
      <w:bCs/>
      <w:kern w:val="0"/>
      <w:sz w:val="36"/>
      <w:szCs w:val="36"/>
    </w:rPr>
  </w:style>
  <w:style w:type="paragraph" w:styleId="4">
    <w:name w:val="heading 3"/>
    <w:basedOn w:val="1"/>
    <w:next w:val="1"/>
    <w:semiHidden/>
    <w:unhideWhenUsed/>
    <w:qFormat/>
    <w:uiPriority w:val="0"/>
    <w:pPr>
      <w:spacing w:beforeAutospacing="1" w:afterAutospacing="1"/>
      <w:jc w:val="left"/>
      <w:outlineLvl w:val="2"/>
    </w:pPr>
    <w:rPr>
      <w:rFonts w:hint="eastAsia" w:hAnsi="宋体" w:eastAsia="宋体" w:cs="Times New Roman"/>
      <w:b/>
      <w:bCs/>
      <w:kern w:val="0"/>
      <w:sz w:val="27"/>
      <w:szCs w:val="27"/>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alloon Text"/>
    <w:basedOn w:val="1"/>
    <w:link w:val="14"/>
    <w:qFormat/>
    <w:uiPriority w:val="0"/>
    <w:rPr>
      <w:sz w:val="18"/>
      <w:szCs w:val="18"/>
    </w:rPr>
  </w:style>
  <w:style w:type="paragraph" w:styleId="7">
    <w:name w:val="footer"/>
    <w:basedOn w:val="1"/>
    <w:link w:val="15"/>
    <w:qFormat/>
    <w:uiPriority w:val="99"/>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customStyle="1" w:styleId="14">
    <w:name w:val="批注框文本 Char"/>
    <w:basedOn w:val="12"/>
    <w:link w:val="6"/>
    <w:qFormat/>
    <w:uiPriority w:val="0"/>
    <w:rPr>
      <w:rFonts w:ascii="GWZT-EN" w:hAnsiTheme="minorHAnsi" w:eastAsiaTheme="minorEastAsia" w:cstheme="minorBidi"/>
      <w:kern w:val="2"/>
      <w:sz w:val="18"/>
      <w:szCs w:val="18"/>
    </w:rPr>
  </w:style>
  <w:style w:type="character" w:customStyle="1" w:styleId="15">
    <w:name w:val="页脚 Char"/>
    <w:basedOn w:val="12"/>
    <w:link w:val="7"/>
    <w:qFormat/>
    <w:uiPriority w:val="99"/>
    <w:rPr>
      <w:rFonts w:ascii="GWZT-EN" w:hAnsiTheme="minorHAnsi" w:eastAsiaTheme="minorEastAsia" w:cstheme="minorBidi"/>
      <w:kern w:val="2"/>
      <w:sz w:val="18"/>
      <w:szCs w:val="24"/>
    </w:rPr>
  </w:style>
  <w:style w:type="paragraph" w:customStyle="1" w:styleId="16">
    <w:name w:val="列出段落1"/>
    <w:basedOn w:val="1"/>
    <w:qFormat/>
    <w:uiPriority w:val="34"/>
    <w:pPr>
      <w:ind w:firstLine="420" w:firstLineChars="200"/>
    </w:pPr>
    <w:rPr>
      <w:rFonts w:ascii="Times New Roman" w:hAnsi="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省食品药品监督管理局</Company>
  <Pages>24</Pages>
  <Words>3467</Words>
  <Characters>3532</Characters>
  <Lines>48</Lines>
  <Paragraphs>13</Paragraphs>
  <TotalTime>1</TotalTime>
  <ScaleCrop>false</ScaleCrop>
  <LinksUpToDate>false</LinksUpToDate>
  <CharactersWithSpaces>3532</CharactersWithSpaces>
  <Application>WPS Office_11.8.2.11806_F1E327BC-269C-435d-A152-05C5408002CA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2026-06-01T02:29:00Z</dcterms:created>
  <dc:creator>莫JL</dc:creator>
  <cp:lastModifiedBy>user</cp:lastModifiedBy>
  <cp:lastPrinted>2026-08-18T17:11:00Z</cp:lastPrinted>
  <dcterms:modified xsi:type="dcterms:W3CDTF">2026-08-24T10:06:46Z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2052-11.8.2.11806</vt:lpwstr>
  </property>
  <property fmtid="{D5CDD505-2E9C-101B-9397-08002B2CF9AE}" pid="3" name="ICV">
    <vt:lpwstr>E383C29F4883B7D87DA68B6A88115130</vt:lpwstr>
  </property>
  <property fmtid="{D5CDD505-2E9C-101B-9397-08002B2CF9AE}" pid="4" name="KSOTemplateDocerSaveRecord">
    <vt:lpwstr>eyJoZGlkIjoiOTJjZGM2NDI5ZDQ2ZTQ3YzdkYmMyOGI0ZjRjNTY4YTkiLCJ1c2VySWQiOiI1Mjg0NzU1NzEifQ==</vt:lpwstr>
  </property>
</Properties>
</file>