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5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84B5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9B77C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textAlignment w:val="auto"/>
        <w:rPr>
          <w:rFonts w:hint="default" w:ascii="Times New Roman" w:hAnsi="Times New Roman" w:cs="Times New Roman"/>
          <w:sz w:val="44"/>
          <w:szCs w:val="40"/>
        </w:rPr>
      </w:pPr>
      <w:r>
        <w:rPr>
          <w:rFonts w:hint="default" w:ascii="Times New Roman" w:hAnsi="Times New Roman" w:cs="Times New Roman"/>
          <w:sz w:val="44"/>
          <w:szCs w:val="40"/>
        </w:rPr>
        <w:t>关于加强中药品种保护工作的公告</w:t>
      </w:r>
    </w:p>
    <w:p w14:paraId="1CD3F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（征求意见稿）</w:t>
      </w:r>
    </w:p>
    <w:p w14:paraId="719EB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</w:p>
    <w:p w14:paraId="53CE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bookmarkStart w:id="0" w:name="_Hlk209386159"/>
      <w:r>
        <w:rPr>
          <w:rFonts w:hint="default" w:ascii="Times New Roman" w:hAnsi="Times New Roman" w:eastAsia="仿宋_GB2312" w:cs="Times New Roman"/>
          <w:sz w:val="32"/>
        </w:rPr>
        <w:t>为进一步加强中药品种保护工作，推进中药保护品种质量持续提升，保证中药品种保护工作的科学性、公正性和规范性，</w:t>
      </w:r>
      <w:bookmarkEnd w:id="0"/>
      <w:r>
        <w:rPr>
          <w:rFonts w:hint="default" w:ascii="Times New Roman" w:hAnsi="Times New Roman" w:eastAsia="仿宋_GB2312" w:cs="Times New Roman"/>
          <w:sz w:val="32"/>
        </w:rPr>
        <w:t>根据《中华人民共和国药品管理法》《中华人民共和国药品管理法实施条例》《中药品种保护条例》（以下简称《条例》）《药品注册管理办法》《中药注册管理专门规定》等有关规定，现就有关事项公告如下：</w:t>
      </w:r>
    </w:p>
    <w:p w14:paraId="1EBC0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一、【申请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</w:rPr>
        <w:t>】药品上市许可持有人（以下简称持有人）依据《条例》，可对其持有的符合规定情形的中药品种，向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国务院</w:t>
      </w:r>
      <w:r>
        <w:rPr>
          <w:rFonts w:hint="default" w:ascii="Times New Roman" w:hAnsi="Times New Roman" w:eastAsia="仿宋_GB2312" w:cs="Times New Roman"/>
          <w:sz w:val="32"/>
        </w:rPr>
        <w:t>药品监督管理部门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（以下简称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国家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药监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</w:rPr>
        <w:t>提出中药品种保护申请。申请人提交的中药品种保护相关研究资料，应当符合申报时的法律法规和有关技术要求。</w:t>
      </w:r>
    </w:p>
    <w:p w14:paraId="03340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</w:rPr>
        <w:t>【申请和受理】申请人向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国家药监局药品审评中心（</w:t>
      </w:r>
      <w:r>
        <w:rPr>
          <w:rFonts w:hint="default" w:ascii="Times New Roman" w:hAnsi="Times New Roman" w:eastAsia="仿宋_GB2312" w:cs="Times New Roman"/>
          <w:sz w:val="32"/>
        </w:rPr>
        <w:t>国家中药品种保护审评委员会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</w:rPr>
        <w:t>（以下简称中保委）报送3份相同的完整资料，中保委收到资料后应当在5个工作日内完成形式审查，对同意受理的品种出具中药品种保护申请受理通知书，同时抄送申请人所在地省（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自治区</w:t>
      </w:r>
      <w:r>
        <w:rPr>
          <w:rFonts w:hint="default" w:ascii="Times New Roman" w:hAnsi="Times New Roman" w:eastAsia="仿宋_GB2312" w:cs="Times New Roman"/>
          <w:sz w:val="32"/>
        </w:rPr>
        <w:t>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直辖</w:t>
      </w:r>
      <w:r>
        <w:rPr>
          <w:rFonts w:hint="default" w:ascii="Times New Roman" w:hAnsi="Times New Roman" w:eastAsia="仿宋_GB2312" w:cs="Times New Roman"/>
          <w:sz w:val="32"/>
        </w:rPr>
        <w:t>市）药品监督管理部门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（以下简称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省级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药监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</w:rPr>
        <w:t>，并将其中1份申报资料移交申请人所在地省级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药监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 w14:paraId="05495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</w:rPr>
        <w:t>、【真实性核查】省级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药监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</w:rPr>
        <w:t>收到受理通知书和申报资料后，应当依照《条例》等有关规定，组织对中药品种保护申报资料的上市后临床研究和药理、毒理资料的真实性进行核查，并出具核查报告（模板见附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</w:rPr>
        <w:t>）。对上市后已经进行过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药品</w:t>
      </w:r>
      <w:r>
        <w:rPr>
          <w:rFonts w:hint="default" w:ascii="Times New Roman" w:hAnsi="Times New Roman" w:eastAsia="仿宋_GB2312" w:cs="Times New Roman"/>
          <w:sz w:val="32"/>
        </w:rPr>
        <w:t>注册核查的申报资料，可不再进行核查。</w:t>
      </w:r>
    </w:p>
    <w:p w14:paraId="7D11D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对承担临床研究的医疗机构进行核查，应当至少确定3家核查对象，包括组长单位以及基于研究质量风险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</w:rPr>
        <w:t>结合病种和临床试验选择项目中具有代表性的2家以上的医疗机构。</w:t>
      </w:r>
    </w:p>
    <w:p w14:paraId="3A40B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</w:rPr>
        <w:t>【组织审评】中保委在收到省级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药监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</w:rPr>
        <w:t>的核查报告后启动审评工作。</w:t>
      </w:r>
    </w:p>
    <w:p w14:paraId="7EB51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基于审评需要开展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药品注册</w:t>
      </w:r>
      <w:r>
        <w:rPr>
          <w:rFonts w:hint="default" w:ascii="Times New Roman" w:hAnsi="Times New Roman" w:eastAsia="仿宋_GB2312" w:cs="Times New Roman"/>
          <w:sz w:val="32"/>
        </w:rPr>
        <w:t>现场核查的，由中保委组织对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相关的申报数据、资料</w:t>
      </w:r>
      <w:r>
        <w:rPr>
          <w:rFonts w:hint="default" w:ascii="Times New Roman" w:hAnsi="Times New Roman" w:eastAsia="仿宋_GB2312" w:cs="Times New Roman"/>
          <w:sz w:val="32"/>
        </w:rPr>
        <w:t>或者相关线索内容开展核查。</w:t>
      </w:r>
    </w:p>
    <w:p w14:paraId="46639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</w:rPr>
        <w:t>、【发补】经审评，需要申请人补充资料的，中保委应当以书面通知的形式一次性告知需要补充资料的全部内容；申请人应当按照补充通知的要求在80个工作日内一次性提交全部补充资料，补充资料时间不计入审评时限。</w:t>
      </w:r>
    </w:p>
    <w:p w14:paraId="59B0B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</w:rPr>
        <w:t>、【沟通交流】申请人在中药品种保护申请前、中药品种保护审评过程中，可以就重大问题与中保委进行沟通交流。中药品种保护审评过程中，中保委可以根据工作需要组织与申请人进行沟通交流。</w:t>
      </w:r>
    </w:p>
    <w:p w14:paraId="36866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bookmarkStart w:id="1" w:name="_Hlk214482977"/>
      <w:r>
        <w:rPr>
          <w:rFonts w:hint="default" w:ascii="Times New Roman" w:hAnsi="Times New Roman" w:eastAsia="仿宋_GB2312" w:cs="Times New Roman"/>
          <w:sz w:val="32"/>
        </w:rPr>
        <w:t>沟通交流的程序</w:t>
      </w:r>
      <w:bookmarkEnd w:id="1"/>
      <w:r>
        <w:rPr>
          <w:rFonts w:hint="default" w:ascii="Times New Roman" w:hAnsi="Times New Roman" w:eastAsia="仿宋_GB2312" w:cs="Times New Roman"/>
          <w:sz w:val="32"/>
        </w:rPr>
        <w:t>、要求和时限，由中保委另行制定，并向社会公布。</w:t>
      </w:r>
    </w:p>
    <w:p w14:paraId="7B228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bookmarkStart w:id="2" w:name="_Hlk193013722"/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</w:rPr>
        <w:t>、【异议处置】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审评结论为通过，经批准给予保护的，颁发《中药保护品种证书》。</w:t>
      </w:r>
      <w:bookmarkEnd w:id="2"/>
      <w:r>
        <w:rPr>
          <w:rFonts w:hint="default" w:ascii="Times New Roman" w:hAnsi="Times New Roman" w:eastAsia="仿宋_GB2312" w:cs="Times New Roman"/>
          <w:sz w:val="32"/>
        </w:rPr>
        <w:t>审评结论不通过的，中保委应当书面告知申请人不通过的理由，申请人可以</w:t>
      </w:r>
      <w:bookmarkStart w:id="3" w:name="OLE_LINK2"/>
      <w:bookmarkStart w:id="4" w:name="OLE_LINK1"/>
      <w:r>
        <w:rPr>
          <w:rFonts w:hint="default" w:ascii="Times New Roman" w:hAnsi="Times New Roman" w:eastAsia="仿宋_GB2312" w:cs="Times New Roman"/>
          <w:sz w:val="32"/>
        </w:rPr>
        <w:t>在15个工作日内</w:t>
      </w:r>
      <w:bookmarkEnd w:id="3"/>
      <w:bookmarkEnd w:id="4"/>
      <w:r>
        <w:rPr>
          <w:rFonts w:hint="default" w:ascii="Times New Roman" w:hAnsi="Times New Roman" w:eastAsia="仿宋_GB2312" w:cs="Times New Roman"/>
          <w:sz w:val="32"/>
        </w:rPr>
        <w:t>就已提交的申请资料向中保委提出异议并说明理由。中保委在15个工作日内结合申请人的异议意见进行综合评估，并将综合评估结果反馈申请人。申请人对综合评估结果仍有异议的，中保委应当按照规定，在50个工作日内组织专家对原申报资料进行再次审评，并形成最终的审评结论。申请人异议、综合评估和专家论证时间不计入审评时限。</w:t>
      </w:r>
    </w:p>
    <w:p w14:paraId="5F7F4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、【再次申请</w:t>
      </w:r>
      <w:bookmarkStart w:id="5" w:name="OLE_LINK6"/>
      <w:r>
        <w:rPr>
          <w:rFonts w:hint="default" w:ascii="Times New Roman" w:hAnsi="Times New Roman" w:eastAsia="仿宋_GB2312" w:cs="Times New Roman"/>
          <w:color w:val="000000"/>
          <w:sz w:val="32"/>
        </w:rPr>
        <w:t>】审批后未获得保护的中药品种，申请人再次提出申请中药品种保护时，应当针对原不批准意见内容完成相关研究并逐一论述。</w:t>
      </w:r>
      <w:bookmarkEnd w:id="5"/>
    </w:p>
    <w:p w14:paraId="1E130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、</w:t>
      </w:r>
      <w:r>
        <w:rPr>
          <w:rFonts w:hint="default" w:ascii="Times New Roman" w:hAnsi="Times New Roman" w:eastAsia="仿宋_GB2312" w:cs="Times New Roman"/>
          <w:sz w:val="32"/>
        </w:rPr>
        <w:t>【同名同方药注册申请处理】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中药品种保护期内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国家药监局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不受理其同名同方药的注册申请。对于中药品种保护批准前已受理的同名同方药的注册申请，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国家药监局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继续审评。通过审评审批的，由持有人提出中药品种保护申请，符合《条例》规定的，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国家药监局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批准给予中药品种保护，保护期截止日期与首家一致。</w:t>
      </w:r>
    </w:p>
    <w:p w14:paraId="77510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十、</w:t>
      </w:r>
      <w:r>
        <w:rPr>
          <w:rFonts w:hint="default" w:ascii="Times New Roman" w:hAnsi="Times New Roman" w:eastAsia="仿宋_GB2312" w:cs="Times New Roman"/>
          <w:sz w:val="32"/>
        </w:rPr>
        <w:t>【</w:t>
      </w:r>
      <w:bookmarkStart w:id="6" w:name="OLE_LINK4"/>
      <w:r>
        <w:rPr>
          <w:rFonts w:hint="default" w:ascii="Times New Roman" w:hAnsi="Times New Roman" w:eastAsia="仿宋_GB2312" w:cs="Times New Roman"/>
          <w:sz w:val="32"/>
        </w:rPr>
        <w:t>保护期</w:t>
      </w:r>
      <w:bookmarkEnd w:id="6"/>
      <w:r>
        <w:rPr>
          <w:rFonts w:hint="default" w:ascii="Times New Roman" w:hAnsi="Times New Roman" w:eastAsia="仿宋_GB2312" w:cs="Times New Roman"/>
          <w:sz w:val="32"/>
        </w:rPr>
        <w:t>内的要求】中药保护品种持有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应当在保护期内完成</w:t>
      </w:r>
      <w:r>
        <w:rPr>
          <w:rFonts w:hint="default" w:ascii="Times New Roman" w:hAnsi="Times New Roman" w:eastAsia="仿宋_GB2312" w:cs="Times New Roman"/>
          <w:sz w:val="32"/>
        </w:rPr>
        <w:t>中药保护品种改进提高工作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持续开展药品上市后研究，按照药物警戒质量管理规范要求开展药物警戒活动，动态开展资源评估，持续提高中药保护品种质量控制水平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鼓励开展药品作用机理的研究。</w:t>
      </w:r>
    </w:p>
    <w:p w14:paraId="32D67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十一、</w:t>
      </w:r>
      <w:r>
        <w:rPr>
          <w:rFonts w:hint="default" w:ascii="Times New Roman" w:hAnsi="Times New Roman" w:eastAsia="仿宋_GB2312" w:cs="Times New Roman"/>
          <w:sz w:val="32"/>
        </w:rPr>
        <w:t>【延长保护期】申请延长中药品种保护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期，应当按《条例》规定的时限、程序和要求提出延长保护期的申请，并报送相关资料。</w:t>
      </w:r>
    </w:p>
    <w:p w14:paraId="12963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十二、</w:t>
      </w:r>
      <w:r>
        <w:rPr>
          <w:rFonts w:hint="default" w:ascii="Times New Roman" w:hAnsi="Times New Roman" w:eastAsia="仿宋_GB2312" w:cs="Times New Roman"/>
          <w:sz w:val="32"/>
        </w:rPr>
        <w:t>【持有人变更】中药保护品种持有人名称变更的，持有人应当在药品注册证书相关信息变更后40个工作日内向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国家药监局</w:t>
      </w:r>
      <w:r>
        <w:rPr>
          <w:rFonts w:hint="default" w:ascii="Times New Roman" w:hAnsi="Times New Roman" w:eastAsia="仿宋_GB2312" w:cs="Times New Roman"/>
          <w:sz w:val="32"/>
        </w:rPr>
        <w:t>提出申请，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国家药监局</w:t>
      </w:r>
      <w:r>
        <w:rPr>
          <w:rFonts w:hint="default" w:ascii="Times New Roman" w:hAnsi="Times New Roman" w:eastAsia="仿宋_GB2312" w:cs="Times New Roman"/>
          <w:sz w:val="32"/>
        </w:rPr>
        <w:t>应当在10个工作日内办理变更手续。</w:t>
      </w:r>
    </w:p>
    <w:p w14:paraId="27075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</w:rPr>
        <w:t>【信息公示】对已受理的中药品种保护申请和已批准保护的中药品种，将在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国家药监局</w:t>
      </w:r>
      <w:r>
        <w:rPr>
          <w:rFonts w:hint="default" w:ascii="Times New Roman" w:hAnsi="Times New Roman" w:eastAsia="仿宋_GB2312" w:cs="Times New Roman"/>
          <w:sz w:val="32"/>
        </w:rPr>
        <w:t>网站予以公示。</w:t>
      </w:r>
    </w:p>
    <w:p w14:paraId="7E2C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十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、</w:t>
      </w:r>
      <w:r>
        <w:rPr>
          <w:rFonts w:hint="default" w:ascii="Times New Roman" w:hAnsi="Times New Roman" w:eastAsia="仿宋_GB2312" w:cs="Times New Roman"/>
          <w:sz w:val="32"/>
        </w:rPr>
        <w:t>【专家管理】中保委应当持续加强对</w:t>
      </w:r>
      <w:bookmarkStart w:id="7" w:name="_Hlk214429727"/>
      <w:r>
        <w:rPr>
          <w:rFonts w:hint="default" w:ascii="Times New Roman" w:hAnsi="Times New Roman" w:eastAsia="仿宋_GB2312" w:cs="Times New Roman"/>
          <w:sz w:val="32"/>
        </w:rPr>
        <w:t>中药品种保护审评专家的管理</w:t>
      </w:r>
      <w:bookmarkEnd w:id="7"/>
      <w:r>
        <w:rPr>
          <w:rFonts w:hint="default" w:ascii="Times New Roman" w:hAnsi="Times New Roman" w:eastAsia="仿宋_GB2312" w:cs="Times New Roman"/>
          <w:sz w:val="32"/>
        </w:rPr>
        <w:t>，明确审评专家权利、义务、责任和廉政要求，引导专家正确发挥技术支撑作用，规范开展中药品种保护审评工作。</w:t>
      </w:r>
    </w:p>
    <w:p w14:paraId="3FBF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中药品种保护审评专家应当恪守职业操守，严格遵守审评工作纪律，科学、公正、严谨、廉洁的履行专家职责，保障中药品种保护技术审评工作的科学性、权威性和公正性。</w:t>
      </w:r>
    </w:p>
    <w:p w14:paraId="5288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十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、</w:t>
      </w:r>
      <w:r>
        <w:rPr>
          <w:rFonts w:hint="default" w:ascii="Times New Roman" w:hAnsi="Times New Roman" w:eastAsia="仿宋_GB2312" w:cs="Times New Roman"/>
          <w:sz w:val="32"/>
        </w:rPr>
        <w:t>【日常监管】省级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药监局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应当加强对本行政区域内中药保护品种持有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受托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生产企业的日常监督管理</w:t>
      </w:r>
      <w:r>
        <w:rPr>
          <w:rFonts w:hint="default" w:ascii="Times New Roman" w:hAnsi="Times New Roman" w:eastAsia="仿宋_GB2312" w:cs="Times New Roman"/>
          <w:sz w:val="32"/>
        </w:rPr>
        <w:t>工作，</w:t>
      </w:r>
      <w:bookmarkStart w:id="8" w:name="OLE_LINK5"/>
      <w:r>
        <w:rPr>
          <w:rFonts w:hint="default" w:ascii="Times New Roman" w:hAnsi="Times New Roman" w:eastAsia="仿宋_GB2312" w:cs="Times New Roman"/>
          <w:sz w:val="32"/>
        </w:rPr>
        <w:t>对批准保护的品种要建立完整的监督管理档案，督促中药保护品种持有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</w:rPr>
        <w:t>持续开展中药保护品种的改进提高工作。</w:t>
      </w:r>
      <w:bookmarkEnd w:id="8"/>
    </w:p>
    <w:p w14:paraId="51D10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上述内容自发布之日起执行。</w:t>
      </w:r>
    </w:p>
    <w:p w14:paraId="6079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特此公告。</w:t>
      </w:r>
    </w:p>
    <w:p w14:paraId="68644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4A83B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附表：中药品种保护现场核查报告</w:t>
      </w:r>
    </w:p>
    <w:p w14:paraId="08D60FF7">
      <w:pPr>
        <w:ind w:firstLine="0" w:firstLineChars="0"/>
        <w:rPr>
          <w:rFonts w:hint="eastAsia" w:ascii="Times New Roman" w:hAnsi="Times New Roman" w:eastAsia="黑体" w:cs="Times New Roman"/>
          <w:bCs/>
          <w:kern w:val="44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bCs/>
          <w:kern w:val="44"/>
          <w:sz w:val="32"/>
          <w:szCs w:val="44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bCs/>
          <w:kern w:val="44"/>
          <w:sz w:val="32"/>
          <w:szCs w:val="44"/>
          <w:lang w:val="en-US" w:eastAsia="zh-CN" w:bidi="ar-SA"/>
        </w:rPr>
        <w:t>表</w:t>
      </w:r>
    </w:p>
    <w:p w14:paraId="5633BBB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17" w:beforeLines="50" w:after="217" w:afterLines="50" w:line="36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中药品种保护现场核查报告</w:t>
      </w:r>
    </w:p>
    <w:tbl>
      <w:tblPr>
        <w:tblStyle w:val="4"/>
        <w:tblW w:w="8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710"/>
        <w:gridCol w:w="521"/>
        <w:gridCol w:w="1566"/>
        <w:gridCol w:w="571"/>
        <w:gridCol w:w="678"/>
        <w:gridCol w:w="222"/>
        <w:gridCol w:w="527"/>
        <w:gridCol w:w="331"/>
        <w:gridCol w:w="326"/>
        <w:gridCol w:w="1676"/>
      </w:tblGrid>
      <w:tr w14:paraId="02A4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BE7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药品名称</w:t>
            </w:r>
          </w:p>
        </w:tc>
        <w:tc>
          <w:tcPr>
            <w:tcW w:w="3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920F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7CD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受理号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C255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563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B7B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申请类别</w:t>
            </w:r>
          </w:p>
        </w:tc>
        <w:tc>
          <w:tcPr>
            <w:tcW w:w="7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C55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  初次保护      □  同品种保护      □  延长保护期</w:t>
            </w:r>
          </w:p>
        </w:tc>
      </w:tr>
      <w:tr w14:paraId="587F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089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现行标准</w:t>
            </w:r>
          </w:p>
        </w:tc>
        <w:tc>
          <w:tcPr>
            <w:tcW w:w="3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878D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8CF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批准文号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94EE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EA0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C28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剂型</w:t>
            </w:r>
          </w:p>
        </w:tc>
        <w:tc>
          <w:tcPr>
            <w:tcW w:w="3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C0D4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D52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规格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736C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FCD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6BB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申请人</w:t>
            </w:r>
          </w:p>
        </w:tc>
        <w:tc>
          <w:tcPr>
            <w:tcW w:w="7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5314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043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A80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药学研究</w:t>
            </w:r>
          </w:p>
        </w:tc>
        <w:tc>
          <w:tcPr>
            <w:tcW w:w="7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80FE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被核查单位：</w:t>
            </w:r>
          </w:p>
          <w:p w14:paraId="0E7CBF8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核查地点：</w:t>
            </w:r>
          </w:p>
        </w:tc>
      </w:tr>
      <w:tr w14:paraId="65A0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929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C812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核查结果（核查中发现的主要问题）：</w:t>
            </w:r>
          </w:p>
          <w:p w14:paraId="701F26BB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67B40295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12EB0B57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5A66D0F1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755A4A99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23C61106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2DC2977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7C7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4B6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B60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组长签名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49F5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18D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核查员签名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750F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343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被核查单位负责人签名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FD7D5F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669DD2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（公章）</w:t>
            </w:r>
          </w:p>
        </w:tc>
      </w:tr>
      <w:tr w14:paraId="6D00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298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药理毒理</w:t>
            </w:r>
          </w:p>
          <w:p w14:paraId="1F17182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</w:t>
            </w:r>
          </w:p>
        </w:tc>
        <w:tc>
          <w:tcPr>
            <w:tcW w:w="7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5720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被核查单位：</w:t>
            </w:r>
          </w:p>
          <w:p w14:paraId="0C839A6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核查地点：</w:t>
            </w:r>
          </w:p>
        </w:tc>
      </w:tr>
      <w:tr w14:paraId="0886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61C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06C3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核查结果（核查中发现的主要问题）：</w:t>
            </w:r>
          </w:p>
          <w:p w14:paraId="3AFBCC87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25224070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7FE6D1E9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11EFE225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1967F3D0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744F879B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4F92757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AD8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6B1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0C6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组长签名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12C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A9A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核查员签名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313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11E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被核查单位负责人签名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AB6FA7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6941BB2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（公章）</w:t>
            </w:r>
          </w:p>
        </w:tc>
      </w:tr>
      <w:tr w14:paraId="7C48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A0B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临床研究</w:t>
            </w:r>
          </w:p>
        </w:tc>
        <w:tc>
          <w:tcPr>
            <w:tcW w:w="7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A459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被核查单位：</w:t>
            </w:r>
          </w:p>
          <w:p w14:paraId="22F00A6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核查地点：</w:t>
            </w:r>
          </w:p>
        </w:tc>
      </w:tr>
      <w:tr w14:paraId="2D37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491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1E19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核查结果（核查中发现的主要问题）：</w:t>
            </w:r>
          </w:p>
          <w:p w14:paraId="26D722D4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F895EF4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75853A09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2455F2A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796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250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4AE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组长签名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75B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3FE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核查员签名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19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0A9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被核查单位负责人签名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1DD8D9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74FB2A2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（公章）</w:t>
            </w:r>
          </w:p>
        </w:tc>
      </w:tr>
      <w:tr w14:paraId="231A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339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其他情况</w:t>
            </w:r>
          </w:p>
        </w:tc>
        <w:tc>
          <w:tcPr>
            <w:tcW w:w="7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B5A45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271ED626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D61B62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C88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A71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A38D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组长签名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FAF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FB3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核查员签名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F09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AA4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被核查单位负责人签名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62168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（公章）</w:t>
            </w:r>
          </w:p>
        </w:tc>
      </w:tr>
      <w:tr w14:paraId="6336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7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DBC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综合评定结论</w:t>
            </w:r>
          </w:p>
        </w:tc>
        <w:tc>
          <w:tcPr>
            <w:tcW w:w="7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DFF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根据综合评定，现场核查结论为：</w:t>
            </w:r>
          </w:p>
          <w:p w14:paraId="2DA167F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  通过</w:t>
            </w:r>
          </w:p>
          <w:p w14:paraId="117C411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  不通过</w:t>
            </w:r>
          </w:p>
          <w:p w14:paraId="286D5874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5BA57FB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有关说明：</w:t>
            </w:r>
          </w:p>
          <w:p w14:paraId="3D0AA9C0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42432D1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69C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46E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组长签名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0D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41A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核查员签名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272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88F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252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省局审核意见</w:t>
            </w:r>
          </w:p>
        </w:tc>
        <w:tc>
          <w:tcPr>
            <w:tcW w:w="7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53FE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2E3FC8F7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E39D27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40E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F3E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27C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  办</w:t>
            </w:r>
          </w:p>
        </w:tc>
        <w:tc>
          <w:tcPr>
            <w:tcW w:w="3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630534">
            <w:pPr>
              <w:pStyle w:val="6"/>
              <w:ind w:firstLine="1920" w:firstLineChars="8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(签名)</w:t>
            </w:r>
          </w:p>
          <w:p w14:paraId="23FB04DF">
            <w:pPr>
              <w:pStyle w:val="6"/>
              <w:ind w:firstLine="1920" w:firstLineChars="8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月  日</w:t>
            </w:r>
          </w:p>
        </w:tc>
        <w:tc>
          <w:tcPr>
            <w:tcW w:w="20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49F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（省局公章）</w:t>
            </w:r>
          </w:p>
          <w:p w14:paraId="4676C96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年  月  日</w:t>
            </w:r>
          </w:p>
        </w:tc>
      </w:tr>
      <w:tr w14:paraId="0FF9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61E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AA4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处审核</w:t>
            </w:r>
          </w:p>
        </w:tc>
        <w:tc>
          <w:tcPr>
            <w:tcW w:w="3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E8165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(签名)</w:t>
            </w:r>
          </w:p>
          <w:p w14:paraId="51F3C7B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年  月  日</w:t>
            </w:r>
          </w:p>
        </w:tc>
        <w:tc>
          <w:tcPr>
            <w:tcW w:w="20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C02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6BF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069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04B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局签发</w:t>
            </w:r>
          </w:p>
        </w:tc>
        <w:tc>
          <w:tcPr>
            <w:tcW w:w="3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4B845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(签名)</w:t>
            </w:r>
          </w:p>
          <w:p w14:paraId="2436417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年  月  日</w:t>
            </w:r>
          </w:p>
        </w:tc>
        <w:tc>
          <w:tcPr>
            <w:tcW w:w="20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4CD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B87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980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备注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979C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FF7D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</w:tbl>
    <w:p w14:paraId="722BF637"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注：本表一式三份（原件），省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eastAsia="zh-CN"/>
        </w:rPr>
        <w:t>级药监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局存一份，其余报送国家中药品种保护审评委员会。</w:t>
      </w:r>
      <w:bookmarkStart w:id="9" w:name="_GoBack"/>
      <w:bookmarkEnd w:id="9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22940">
    <w:pPr>
      <w:pStyle w:val="2"/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20419F">
                          <w:pPr>
                            <w:pStyle w:val="2"/>
                            <w:wordWrap w:val="0"/>
                            <w:jc w:val="right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20419F">
                    <w:pPr>
                      <w:pStyle w:val="2"/>
                      <w:wordWrap w:val="0"/>
                      <w:jc w:val="right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1308B"/>
    <w:rsid w:val="0FC84B70"/>
    <w:rsid w:val="4031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next w:val="1"/>
    <w:qFormat/>
    <w:uiPriority w:val="10"/>
    <w:pPr>
      <w:widowControl w:val="0"/>
      <w:adjustRightInd w:val="0"/>
      <w:snapToGrid w:val="0"/>
      <w:spacing w:after="160" w:line="560" w:lineRule="atLeast"/>
      <w:jc w:val="center"/>
      <w:outlineLvl w:val="0"/>
    </w:pPr>
    <w:rPr>
      <w:rFonts w:ascii="Calibri Light" w:hAnsi="Calibri Light" w:eastAsia="方正小标宋简体" w:cs="宋体"/>
      <w:bCs/>
      <w:kern w:val="2"/>
      <w:sz w:val="36"/>
      <w:szCs w:val="32"/>
      <w:lang w:val="en-US" w:eastAsia="zh-CN" w:bidi="ar-SA"/>
    </w:rPr>
  </w:style>
  <w:style w:type="paragraph" w:customStyle="1" w:styleId="6">
    <w:name w:val="表格小四号"/>
    <w:next w:val="1"/>
    <w:qFormat/>
    <w:uiPriority w:val="0"/>
    <w:pPr>
      <w:widowControl w:val="0"/>
      <w:adjustRightInd w:val="0"/>
      <w:snapToGrid w:val="0"/>
      <w:spacing w:line="320" w:lineRule="atLeast"/>
      <w:jc w:val="both"/>
    </w:pPr>
    <w:rPr>
      <w:rFonts w:hint="eastAsia" w:ascii="仿宋" w:hAnsi="仿宋" w:eastAsia="仿宋_GB2312" w:cs="仿宋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2026-07-09T09:25:00Z</dcterms:created>
  <dc:creator>YU</dc:creator>
  <cp:lastModifiedBy>YU</cp:lastModifiedBy>
  <dcterms:modified xsi:type="dcterms:W3CDTF">2026-07-09T09:28:21Z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BA3B36980BE24BC5B739F6E93F35E82E_11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